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after="0" w:line="560" w:lineRule="exact"/>
        <w:jc w:val="center"/>
        <w:textAlignment w:val="auto"/>
        <w:rPr>
          <w:rFonts w:hint="eastAsia"/>
          <w:lang w:eastAsia="zh-CN"/>
        </w:rPr>
      </w:pPr>
    </w:p>
    <w:p>
      <w:pPr>
        <w:rPr>
          <w:rFonts w:hint="eastAsia"/>
          <w:lang w:eastAsia="zh-CN"/>
        </w:rPr>
      </w:pP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after="0" w:line="560" w:lineRule="exact"/>
        <w:jc w:val="center"/>
        <w:textAlignment w:val="auto"/>
        <w:rPr>
          <w:rFonts w:hint="eastAsia"/>
          <w:lang w:eastAsia="zh-CN"/>
        </w:rPr>
      </w:pPr>
      <w:r>
        <w:rPr>
          <w:rFonts w:hint="eastAsia"/>
          <w:lang w:eastAsia="zh-CN"/>
        </w:rPr>
        <w:t>目</w:t>
      </w:r>
      <w:r>
        <w:rPr>
          <w:rFonts w:hint="eastAsia"/>
          <w:lang w:val="en-US" w:eastAsia="zh-CN"/>
        </w:rPr>
        <w:t xml:space="preserve">  </w:t>
      </w:r>
      <w:r>
        <w:rPr>
          <w:rFonts w:hint="eastAsia"/>
          <w:lang w:eastAsia="zh-CN"/>
        </w:rPr>
        <w:t>录</w:t>
      </w:r>
    </w:p>
    <w:p>
      <w:pPr>
        <w:rPr>
          <w:rFonts w:hint="eastAsia"/>
          <w:lang w:eastAsia="zh-CN"/>
        </w:rPr>
      </w:pPr>
    </w:p>
    <w:p>
      <w:pPr>
        <w:rPr>
          <w:rFonts w:hint="eastAsia"/>
          <w:lang w:eastAsia="zh-CN"/>
        </w:rPr>
      </w:pPr>
    </w:p>
    <w:p>
      <w:pPr>
        <w:numPr>
          <w:ilvl w:val="0"/>
          <w:numId w:val="1"/>
        </w:numPr>
        <w:rPr>
          <w:rFonts w:hint="eastAsia"/>
          <w:b w:val="0"/>
          <w:bCs w:val="0"/>
          <w:sz w:val="28"/>
          <w:szCs w:val="28"/>
          <w:lang w:eastAsia="zh-CN"/>
        </w:rPr>
      </w:pPr>
      <w:r>
        <w:rPr>
          <w:rFonts w:hint="eastAsia"/>
          <w:b w:val="0"/>
          <w:bCs w:val="0"/>
          <w:sz w:val="28"/>
          <w:szCs w:val="28"/>
          <w:lang w:eastAsia="zh-CN"/>
        </w:rPr>
        <w:t>教育部办公厅关于加强高校教学实验室安全工作的通知</w:t>
      </w:r>
      <w:r>
        <w:rPr>
          <w:rFonts w:hint="eastAsia"/>
          <w:b w:val="0"/>
          <w:bCs w:val="0"/>
          <w:sz w:val="28"/>
          <w:szCs w:val="28"/>
          <w:lang w:val="en-US" w:eastAsia="zh-CN"/>
        </w:rPr>
        <w:t>............... ....1</w:t>
      </w:r>
    </w:p>
    <w:p>
      <w:pPr>
        <w:numPr>
          <w:ilvl w:val="0"/>
          <w:numId w:val="1"/>
        </w:numPr>
        <w:rPr>
          <w:rFonts w:hint="eastAsia"/>
          <w:b w:val="0"/>
          <w:bCs w:val="0"/>
          <w:sz w:val="28"/>
          <w:szCs w:val="28"/>
          <w:lang w:eastAsia="zh-CN"/>
        </w:rPr>
      </w:pPr>
      <w:r>
        <w:rPr>
          <w:rFonts w:hint="eastAsia"/>
          <w:b w:val="0"/>
          <w:bCs w:val="0"/>
          <w:sz w:val="28"/>
          <w:szCs w:val="28"/>
          <w:lang w:val="en-US" w:eastAsia="zh-CN"/>
        </w:rPr>
        <w:t>《2018年高等学校实验室安全检查项目表》条款分级及检查结果分级</w:t>
      </w:r>
    </w:p>
    <w:p>
      <w:pPr>
        <w:numPr>
          <w:numId w:val="0"/>
        </w:numPr>
        <w:ind w:firstLine="280" w:firstLineChars="100"/>
        <w:rPr>
          <w:rFonts w:hint="eastAsia"/>
          <w:b w:val="0"/>
          <w:bCs w:val="0"/>
          <w:sz w:val="28"/>
          <w:szCs w:val="28"/>
          <w:lang w:val="en-US" w:eastAsia="zh-CN"/>
        </w:rPr>
      </w:pPr>
      <w:r>
        <w:rPr>
          <w:rFonts w:hint="eastAsia"/>
          <w:b w:val="0"/>
          <w:bCs w:val="0"/>
          <w:sz w:val="28"/>
          <w:szCs w:val="28"/>
          <w:lang w:val="en-US" w:eastAsia="zh-CN"/>
        </w:rPr>
        <w:t xml:space="preserve"> 方案...........................................................................................................7</w:t>
      </w:r>
    </w:p>
    <w:p>
      <w:pPr>
        <w:numPr>
          <w:ilvl w:val="0"/>
          <w:numId w:val="1"/>
        </w:numPr>
        <w:ind w:left="0" w:leftChars="0" w:firstLine="0" w:firstLineChars="0"/>
        <w:rPr>
          <w:rFonts w:hint="eastAsia"/>
          <w:b w:val="0"/>
          <w:bCs w:val="0"/>
          <w:sz w:val="28"/>
          <w:szCs w:val="28"/>
          <w:lang w:val="en-US" w:eastAsia="zh-CN"/>
        </w:rPr>
      </w:pPr>
      <w:r>
        <w:rPr>
          <w:rFonts w:hint="eastAsia"/>
          <w:b w:val="0"/>
          <w:bCs w:val="0"/>
          <w:sz w:val="28"/>
          <w:szCs w:val="28"/>
          <w:lang w:val="en-US" w:eastAsia="zh-CN"/>
        </w:rPr>
        <w:t>实验室安全检查条款星号分级................................................................8</w:t>
      </w:r>
    </w:p>
    <w:p>
      <w:pPr>
        <w:numPr>
          <w:ilvl w:val="0"/>
          <w:numId w:val="1"/>
        </w:numPr>
        <w:ind w:left="0" w:leftChars="0" w:firstLine="0" w:firstLineChars="0"/>
        <w:rPr>
          <w:rFonts w:hint="eastAsia"/>
          <w:b w:val="0"/>
          <w:bCs w:val="0"/>
          <w:sz w:val="28"/>
          <w:szCs w:val="28"/>
          <w:lang w:val="en-US" w:eastAsia="zh-CN"/>
        </w:rPr>
      </w:pPr>
      <w:r>
        <w:rPr>
          <w:rFonts w:hint="eastAsia"/>
          <w:b w:val="0"/>
          <w:bCs w:val="0"/>
          <w:sz w:val="28"/>
          <w:szCs w:val="28"/>
          <w:lang w:val="en-US" w:eastAsia="zh-CN"/>
        </w:rPr>
        <w:t>发现安全隐患指标条款与检查结果的关系..........................................13</w:t>
      </w:r>
    </w:p>
    <w:p>
      <w:pPr>
        <w:numPr>
          <w:ilvl w:val="0"/>
          <w:numId w:val="0"/>
        </w:numPr>
        <w:rPr>
          <w:rFonts w:hint="eastAsia"/>
          <w:b w:val="0"/>
          <w:bCs w:val="0"/>
          <w:sz w:val="28"/>
          <w:szCs w:val="28"/>
          <w:lang w:val="en-US" w:eastAsia="zh-CN"/>
        </w:rPr>
        <w:sectPr>
          <w:pgSz w:w="11906" w:h="16838"/>
          <w:pgMar w:top="1418" w:right="1474" w:bottom="1588" w:left="1587" w:header="851" w:footer="992" w:gutter="0"/>
          <w:cols w:space="0" w:num="1"/>
          <w:rtlGutter w:val="0"/>
          <w:docGrid w:type="linesAndChars" w:linePitch="312" w:charSpace="0"/>
        </w:sectPr>
      </w:pPr>
      <w:r>
        <w:rPr>
          <w:rFonts w:hint="eastAsia"/>
          <w:b w:val="0"/>
          <w:bCs w:val="0"/>
          <w:sz w:val="28"/>
          <w:szCs w:val="28"/>
          <w:lang w:val="en-US" w:eastAsia="zh-CN"/>
        </w:rPr>
        <w:t>5. 2018年全国高等学校实验室安全检查项目表................................ .....14</w:t>
      </w:r>
    </w:p>
    <w:p>
      <w:pPr>
        <w:rPr>
          <w:rFonts w:hint="eastAsia"/>
          <w:b w:val="0"/>
          <w:bCs w:val="0"/>
          <w:sz w:val="28"/>
          <w:szCs w:val="28"/>
          <w:lang w:eastAsia="zh-CN"/>
        </w:rPr>
      </w:pP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after="0" w:line="560" w:lineRule="exact"/>
        <w:jc w:val="center"/>
        <w:textAlignment w:val="auto"/>
      </w:pPr>
      <w:r>
        <w:rPr>
          <w:rFonts w:hint="eastAsia" w:ascii="方正小标宋简体" w:hAnsi="方正小标宋简体" w:eastAsia="方正小标宋简体" w:cs="方正小标宋简体"/>
          <w:b w:val="0"/>
          <w:bCs w:val="0"/>
          <w:sz w:val="36"/>
          <w:szCs w:val="36"/>
        </w:rPr>
        <w:t>教育部办公厅关于加强高校教学实验室</w:t>
      </w:r>
      <w:r>
        <w:rPr>
          <w:rFonts w:hint="eastAsia" w:ascii="方正小标宋简体" w:hAnsi="方正小标宋简体" w:eastAsia="方正小标宋简体" w:cs="方正小标宋简体"/>
          <w:b w:val="0"/>
          <w:bCs w:val="0"/>
          <w:sz w:val="36"/>
          <w:szCs w:val="36"/>
        </w:rPr>
        <w:br w:type="textWrapping"/>
      </w:r>
      <w:r>
        <w:rPr>
          <w:rFonts w:hint="eastAsia" w:ascii="方正小标宋简体" w:hAnsi="方正小标宋简体" w:eastAsia="方正小标宋简体" w:cs="方正小标宋简体"/>
          <w:b w:val="0"/>
          <w:bCs w:val="0"/>
          <w:sz w:val="36"/>
          <w:szCs w:val="36"/>
        </w:rPr>
        <w:t>安全工作的通知</w:t>
      </w:r>
    </w:p>
    <w:p>
      <w:pPr>
        <w:pStyle w:val="17"/>
        <w:keepNext w:val="0"/>
        <w:keepLines w:val="0"/>
        <w:widowControl/>
        <w:suppressLineNumbers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教高厅〔2017〕2号</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各省、自治区、直辖市教育厅（教委），新疆生产建设兵团教育局，有关部门（单位）教育司（局），部属各高等学校：</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党中央、国务院领导同志关于安全生产工作的系列重要指示精神，按照我部关于切实维护高校安全稳定的统一部署，通过加强高校教学实验室安全工作，不断提高师生安全意识，增强师生安全防护能力，提升高校校园安全和人才培养整体水平，现就相关工作要求通知如下：</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9"/>
          <w:rFonts w:hint="eastAsia" w:ascii="黑体" w:hAnsi="黑体" w:eastAsia="黑体" w:cs="黑体"/>
          <w:b w:val="0"/>
          <w:bCs/>
          <w:sz w:val="32"/>
          <w:szCs w:val="32"/>
        </w:rPr>
      </w:pPr>
      <w:r>
        <w:rPr>
          <w:rStyle w:val="19"/>
          <w:rFonts w:hint="eastAsia" w:ascii="黑体" w:hAnsi="黑体" w:eastAsia="黑体" w:cs="黑体"/>
          <w:sz w:val="32"/>
          <w:szCs w:val="32"/>
        </w:rPr>
        <w:t>　</w:t>
      </w:r>
      <w:r>
        <w:rPr>
          <w:rStyle w:val="19"/>
          <w:rFonts w:hint="eastAsia" w:ascii="黑体" w:hAnsi="黑体" w:eastAsia="黑体" w:cs="黑体"/>
          <w:b w:val="0"/>
          <w:bCs/>
          <w:sz w:val="32"/>
          <w:szCs w:val="32"/>
        </w:rPr>
        <w:t>　一、深化认识，增强教学实验室安全红线意识</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t>　　</w:t>
      </w:r>
      <w:r>
        <w:rPr>
          <w:rFonts w:hint="eastAsia"/>
          <w:lang w:val="en-US" w:eastAsia="zh-CN"/>
        </w:rPr>
        <w:t xml:space="preserve"> </w:t>
      </w:r>
      <w:r>
        <w:rPr>
          <w:rFonts w:hint="eastAsia" w:ascii="仿宋_GB2312" w:hAnsi="仿宋_GB2312" w:eastAsia="仿宋_GB2312" w:cs="仿宋_GB2312"/>
          <w:sz w:val="32"/>
          <w:szCs w:val="32"/>
        </w:rPr>
        <w:t>高校教学实验室是高校开展实验教学的主要阵地，是支撑科学研究工作的重要场所，覆盖学科范围广，参与学生人数多，实验教学任务量大，仪器设备和材料种类多，潜在安全隐患与风险复杂。高校教学实验室安全工作，直接关系广大师生的生命财产安全，关系学校和社会的安全稳定。</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高校教学实验室安全工作，必须坚持以人为本、安全第一、预防为主、综合治理的方针，切实增强红线意识和底线思维。高校要根据实际情况和教学实验室安全工作的复杂性，始终坚持把国家法律法规规章和国家强制性标准作为高校教学实验室安全工作的底线，不折不扣予以执行。</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t>　</w:t>
      </w:r>
      <w:r>
        <w:rPr>
          <w:rFonts w:hint="eastAsia"/>
          <w:lang w:val="en-US" w:eastAsia="zh-CN"/>
        </w:rPr>
        <w:t xml:space="preserve"> </w:t>
      </w:r>
      <w:r>
        <w:rPr>
          <w:rStyle w:val="19"/>
          <w:rFonts w:hint="eastAsia" w:ascii="黑体" w:hAnsi="黑体" w:eastAsia="黑体" w:cs="黑体"/>
          <w:b w:val="0"/>
          <w:bCs/>
          <w:sz w:val="32"/>
          <w:szCs w:val="32"/>
        </w:rPr>
        <w:t>　二、强化担当，健全教学实验室安全责任体系</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　高校是教学实验室安全责任的主体。高校要严格按照“党政同责，一岗双责，齐抓共管，失职追责”和“管行业必须管安全、管业务必须管安全”的要求，在学校统一领导下，构建由学校、二级单位、教学实验室组成的三级联动的教学实验室安全管理责任体系。</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应根据“谁使用、谁负责，谁主管、谁负责”的原则，逐级分层落实责任制。高校党政主要负责人是学校安全工作第一责任人。分管高校教学实验室工作的校领导协助第一责任人负责教学实验室安全工作，是教学实验室安全工作的重要领导责任人。其他校领导在分管工作范围内对教学实验室安全工作负有监督、检查、指导和管理职责。学校二级单位党政负责人是本单位教学实验室安全工作主要领导责任人。学校教学实验室安全管理机构和专职管理人员负责学校教学实验室的日常安全管理。学校教学实验室负责人是本实验室安全工作的直接责任人。</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9"/>
          <w:rFonts w:hint="eastAsia" w:ascii="黑体" w:hAnsi="黑体" w:eastAsia="黑体" w:cs="黑体"/>
          <w:b w:val="0"/>
          <w:bCs/>
          <w:sz w:val="32"/>
          <w:szCs w:val="32"/>
        </w:rPr>
      </w:pPr>
      <w:r>
        <w:rPr>
          <w:rStyle w:val="19"/>
          <w:rFonts w:hint="eastAsia" w:ascii="黑体" w:hAnsi="黑体" w:eastAsia="黑体" w:cs="黑体"/>
          <w:b w:val="0"/>
          <w:bCs/>
          <w:sz w:val="32"/>
          <w:szCs w:val="32"/>
        </w:rPr>
        <w:t>　　三、细化管理， 完善教学实验室安全运行机制</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t>　　</w:t>
      </w:r>
      <w:r>
        <w:rPr>
          <w:rFonts w:hint="eastAsia"/>
          <w:lang w:val="en-US" w:eastAsia="zh-CN"/>
        </w:rPr>
        <w:t xml:space="preserve"> </w:t>
      </w:r>
      <w:r>
        <w:rPr>
          <w:rFonts w:hint="eastAsia" w:ascii="仿宋_GB2312" w:hAnsi="仿宋_GB2312" w:eastAsia="仿宋_GB2312" w:cs="仿宋_GB2312"/>
          <w:sz w:val="32"/>
          <w:szCs w:val="32"/>
        </w:rPr>
        <w:t>高校教学实验室安全工作要坚持精细化原则，系统总结教学实验室安全工作的经验教训，科学分析不同专业门类教学实验室、不同岗位、不同人员的安全风险因素和行为，推动科学管理、规范管理和高效管理，实现对教学实验室安全的全过程、全要素、全方位的管理和控制。</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要根据学校基础条件和教学实验室的专业门类特性，不断完善教学实验室全生命周期安全运行机制。对新建教学实验室，应把安全风险评估与审核作为建设立项的必要条件。对改建、扩建教学实验室，应根据相应法律法规对建设方案进行评估。明确和落实建设项目立项、规划、设计、施工等环节的安全责任。项目建设验收时，要同步进行安全验收。教学实验项目要进行事前安全风险评估，明确标识安全隐患和应对措施。对实验教学过程中需要使用的物品，建立采购、运输、存储、使用、处置等全流程安全监控制度。要建立教学实验室安全定期评估制度，及时发现问题，切实消除隐患。要树立“隐患就是事故”的观念，依法依规建立教学实验室安全事故隐患排查、登记、报告、整改等制度，实行“闭环管理”，确保整改责任、资金、措施、时限和预案“五落实”。要建立完善实验用危险废弃物处置备案制度，协调有资质的企业及时进行处置。</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9"/>
          <w:rFonts w:hint="eastAsia" w:ascii="黑体" w:hAnsi="黑体" w:eastAsia="黑体" w:cs="黑体"/>
          <w:b w:val="0"/>
          <w:bCs/>
          <w:sz w:val="32"/>
          <w:szCs w:val="32"/>
        </w:rPr>
      </w:pPr>
      <w:r>
        <w:rPr>
          <w:rStyle w:val="19"/>
          <w:rFonts w:hint="eastAsia" w:ascii="黑体" w:hAnsi="黑体" w:eastAsia="黑体" w:cs="黑体"/>
          <w:sz w:val="32"/>
          <w:szCs w:val="32"/>
        </w:rPr>
        <w:t>　</w:t>
      </w:r>
      <w:r>
        <w:rPr>
          <w:rStyle w:val="19"/>
          <w:rFonts w:hint="eastAsia" w:ascii="黑体" w:hAnsi="黑体" w:eastAsia="黑体" w:cs="黑体"/>
          <w:b w:val="0"/>
          <w:bCs/>
          <w:sz w:val="32"/>
          <w:szCs w:val="32"/>
        </w:rPr>
        <w:t>　四、创新举措，推进教学实验室安全宣传教育</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　开展系统的安全宣传教育是做好教学实验室安全工作的重要基础。安全宣传教育要以中央领导同志关于安全生产系列重要指示精神为指引，按照“全员、全程、全面”的要求，系统学习相关法律法规规章和标准中涉及教学实验室安全的具体内容，通过案例式教学、规范性培训和定期的检查考核等方式，不断提高广大师生的安全意识和对安全风险的科学认知水平。</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要根据师生特点，积极创新安全宣传教育形式。在传统课堂教学、讲座等形式的基础上，积极利用传统媒体和新媒体等多种宣传阵地刊播教学实验室安全宣传教育内容。要依托教学实验室定期开放日，积极宣讲教学实验室安全常识。要充分利用教学实验室的有效空间营造安全文化氛围。</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要建立教学实验室的安全准入制度，对进入实验室的师生必须进行安全技能和操作规范培训，未经相关安全教育并取得合格成绩者不得进入教学实验室。鼓励高校开设有学分的安全教育课程。要把安全宣传教育作为日常安全检查的必查内容，对安全责任事故要一律倒查安全教育培训责任。</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9"/>
          <w:rFonts w:hint="eastAsia" w:ascii="黑体" w:hAnsi="黑体" w:eastAsia="黑体" w:cs="黑体"/>
          <w:b w:val="0"/>
          <w:bCs/>
          <w:sz w:val="32"/>
          <w:szCs w:val="32"/>
        </w:rPr>
      </w:pPr>
      <w:r>
        <w:t>　</w:t>
      </w:r>
      <w:r>
        <w:rPr>
          <w:rStyle w:val="19"/>
          <w:rFonts w:hint="eastAsia" w:ascii="黑体" w:hAnsi="黑体" w:eastAsia="黑体" w:cs="黑体"/>
          <w:b w:val="0"/>
          <w:bCs/>
          <w:sz w:val="32"/>
          <w:szCs w:val="32"/>
        </w:rPr>
        <w:t>　五、突出重点，开展教学实验室安全专项检查</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高校要加强对教学实验室所有危险化学品、辐射、生物、机械、特种设备等实验设施、设备与用品等重大危险源的规范管理。对重大危险源涉及的采购、运输、储存、使用和处置等环节安全风险进行重点摸排和全过程管控，建立重大危险源安全风险分布档案和相应数据库。</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要对教学实验室重大危险源开展专项定期检查，核查安全制度及责任制落实情况；安全宣传教育情况；分布档案和数据库情况；规范使用和处置情况；检测及应急处置装置情况；安全隐患及其整改成效等。鼓励有条件的高校，试点建立施行重大危险源分级分类管理制度。</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9"/>
          <w:rFonts w:hint="eastAsia" w:ascii="黑体" w:hAnsi="黑体" w:eastAsia="黑体" w:cs="黑体"/>
          <w:b w:val="0"/>
          <w:bCs/>
          <w:sz w:val="32"/>
          <w:szCs w:val="32"/>
        </w:rPr>
      </w:pPr>
      <w:r>
        <w:rPr>
          <w:rStyle w:val="19"/>
          <w:rFonts w:hint="eastAsia" w:ascii="黑体" w:hAnsi="黑体" w:eastAsia="黑体" w:cs="黑体"/>
          <w:b w:val="0"/>
          <w:bCs/>
          <w:sz w:val="32"/>
          <w:szCs w:val="32"/>
        </w:rPr>
        <w:t>　　六、多方联动，提高教学实验室安全应急能力</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　加强教学实验室安全应急能力建设是重要的基础性工作。高校教学实验室安全应急工作涉及预案管理、应急演练、指挥协调、遇险处理、事故救援、整改督查等工作。</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要统筹制定教学实验室安全应急预案，根据实验项目变化加强动态修订。要建立落实教学实验室安全应急预案逐级报备制度，加强自上而下的各部门应急预案的衔接。要完善教学实验室安全应急组织架构，按照“精干、合成、高效”的要求调整理顺相关部门职能，确保功能完备、人员到位、装备齐全、响应及时。要建立健全应急演练制度并定期开展应急演练，对实验室专职管理人员至少每学年进行一次相关安全知识和应急能力培训，不断提高各层级、各部门、各单位相关人员的应急意识，不断提高现场救援时效和实战处置能力。要切实做好应急人员、物资和经费的保障工作，完善教学实验室安全急救设施和个人防护器材配备，确保突发事件预防、现场控制等工作的及时开展。教学实验室发生事故时，要按照相关规定启动应急预案，妥善开展应急处置，做好信息及时报送，全力保障师生生命财产安全，防止事态扩大和蔓延。</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9"/>
          <w:rFonts w:hint="eastAsia" w:ascii="黑体" w:hAnsi="黑体" w:eastAsia="黑体" w:cs="黑体"/>
          <w:b w:val="0"/>
          <w:bCs/>
          <w:sz w:val="32"/>
          <w:szCs w:val="32"/>
        </w:rPr>
      </w:pPr>
      <w:r>
        <w:rPr>
          <w:rStyle w:val="19"/>
          <w:rFonts w:hint="eastAsia" w:ascii="黑体" w:hAnsi="黑体" w:eastAsia="黑体" w:cs="黑体"/>
          <w:b w:val="0"/>
          <w:bCs/>
          <w:sz w:val="32"/>
          <w:szCs w:val="32"/>
        </w:rPr>
        <w:t>　　七、齐抓共管，夯实教学实验室安全工作基础</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要把教学实验室安全工作纳入学校安全整体工作之中，做到安全工作与业务工作同规划、同部署、同落实、同检查。要进一步加强组织领导，将加强教学实验室安全工作作为全面履行高校安全管理工作职能的一项重要任务，不断完善体制机制，以遏制重特大事故为重点，着力消除监管死角和盲区。要创新安全监管方式方法，着力构建安全风险分级管控和隐患排查双重预防机制。要建立学校教学实验室安全工作年度报告制度。要加强安全队伍建设，不断提高人员素质和能力。要保证教学实验室安全经费投入，加强安全物资保障，确保必要的安全防范设施和装备齐全有效。要不断提高教学实验室安全工作的信息化水平，建设全校统一的教学实验室安全管理信息化系统，及时登记、记录全流向、闭环化的危险源信息数据，实现安全信息汇总、分析、发布、监督、追踪等综合有效管理，基本实现教学实验室安全工作全生命周期信息化管理和信息共享，促进信息技术与安全工作的深度融合。</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高校的主管部门要高度重视所属高校教学实验室安全工作，切实担负起安全责任，加强组织领导，完善规章制度，定期开展专项督查。各省级教育行政部门、有关部门（单位）教育司（局）按年度向教育部报送所属高校教学实验室安全工作情况，教育部直属高校按年度直接报送。</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80" w:firstLineChars="1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教育部办公厅</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2017年2月16日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b/>
          <w:sz w:val="32"/>
          <w:szCs w:val="22"/>
          <w:lang w:eastAsia="zh-CN"/>
        </w:rPr>
      </w:pPr>
      <w:r>
        <w:rPr>
          <w:rFonts w:hint="eastAsia" w:ascii="华文仿宋" w:hAnsi="华文仿宋" w:eastAsia="华文仿宋" w:cs="华文仿宋"/>
          <w:b/>
          <w:sz w:val="32"/>
          <w:szCs w:val="2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kern w:val="2"/>
          <w:sz w:val="36"/>
          <w:szCs w:val="36"/>
          <w:lang w:val="en-US" w:eastAsia="zh-CN" w:bidi="ar-SA"/>
        </w:rPr>
      </w:pPr>
      <w:r>
        <w:rPr>
          <w:rFonts w:hint="eastAsia" w:ascii="华文中宋" w:hAnsi="华文中宋" w:eastAsia="华文中宋" w:cs="华文中宋"/>
          <w:b/>
          <w:bCs/>
          <w:kern w:val="2"/>
          <w:sz w:val="36"/>
          <w:szCs w:val="36"/>
          <w:lang w:val="en-US" w:eastAsia="zh-CN" w:bidi="ar-SA"/>
        </w:rPr>
        <w:t>《2018年高等学校实验室安全检查项目表》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kern w:val="2"/>
          <w:sz w:val="36"/>
          <w:szCs w:val="36"/>
          <w:lang w:val="en-US" w:eastAsia="zh-CN" w:bidi="ar-SA"/>
        </w:rPr>
        <w:t>条款分级及检查结果分级方案</w:t>
      </w:r>
    </w:p>
    <w:p>
      <w:pPr>
        <w:keepNext w:val="0"/>
        <w:keepLines w:val="0"/>
        <w:pageBreakBefore w:val="0"/>
        <w:widowControl w:val="0"/>
        <w:kinsoku/>
        <w:wordWrap/>
        <w:overflowPunct/>
        <w:topLinePunct w:val="0"/>
        <w:autoSpaceDE/>
        <w:autoSpaceDN/>
        <w:bidi w:val="0"/>
        <w:adjustRightInd/>
        <w:snapToGrid/>
        <w:spacing w:before="156" w:line="560" w:lineRule="exact"/>
        <w:ind w:firstLine="560" w:firstLineChars="200"/>
        <w:textAlignment w:val="auto"/>
        <w:rPr>
          <w:rFonts w:ascii="仿宋" w:hAnsi="仿宋" w:eastAsia="仿宋"/>
          <w:sz w:val="28"/>
          <w:szCs w:val="24"/>
        </w:rPr>
      </w:pPr>
      <w:r>
        <w:rPr>
          <w:rFonts w:hint="eastAsia" w:ascii="仿宋" w:hAnsi="仿宋" w:eastAsia="仿宋"/>
          <w:sz w:val="28"/>
          <w:szCs w:val="24"/>
        </w:rPr>
        <w:t>为了提升</w:t>
      </w:r>
      <w:r>
        <w:rPr>
          <w:rFonts w:ascii="仿宋" w:hAnsi="仿宋" w:eastAsia="仿宋"/>
          <w:sz w:val="28"/>
          <w:szCs w:val="24"/>
        </w:rPr>
        <w:t>实验室安全检查的严肃性</w:t>
      </w:r>
      <w:r>
        <w:rPr>
          <w:rFonts w:hint="eastAsia" w:ascii="仿宋" w:hAnsi="仿宋" w:eastAsia="仿宋"/>
          <w:sz w:val="28"/>
          <w:szCs w:val="24"/>
        </w:rPr>
        <w:t>和</w:t>
      </w:r>
      <w:r>
        <w:rPr>
          <w:rFonts w:ascii="仿宋" w:hAnsi="仿宋" w:eastAsia="仿宋"/>
          <w:sz w:val="28"/>
          <w:szCs w:val="24"/>
        </w:rPr>
        <w:t>有效性</w:t>
      </w:r>
      <w:r>
        <w:rPr>
          <w:rFonts w:hint="eastAsia" w:ascii="仿宋" w:hAnsi="仿宋" w:eastAsia="仿宋"/>
          <w:sz w:val="28"/>
          <w:szCs w:val="24"/>
        </w:rPr>
        <w:t>，扎扎实实</w:t>
      </w:r>
      <w:r>
        <w:rPr>
          <w:rFonts w:ascii="仿宋" w:hAnsi="仿宋" w:eastAsia="仿宋"/>
          <w:sz w:val="28"/>
          <w:szCs w:val="24"/>
        </w:rPr>
        <w:t>推进高校</w:t>
      </w:r>
      <w:r>
        <w:rPr>
          <w:rFonts w:hint="eastAsia" w:ascii="仿宋" w:hAnsi="仿宋" w:eastAsia="仿宋"/>
          <w:sz w:val="28"/>
          <w:szCs w:val="24"/>
        </w:rPr>
        <w:t>实验室</w:t>
      </w:r>
      <w:r>
        <w:rPr>
          <w:rFonts w:ascii="仿宋" w:hAnsi="仿宋" w:eastAsia="仿宋"/>
          <w:sz w:val="28"/>
          <w:szCs w:val="24"/>
        </w:rPr>
        <w:t>安全</w:t>
      </w:r>
      <w:r>
        <w:rPr>
          <w:rFonts w:hint="eastAsia" w:ascii="仿宋" w:hAnsi="仿宋" w:eastAsia="仿宋"/>
          <w:sz w:val="28"/>
          <w:szCs w:val="24"/>
        </w:rPr>
        <w:t>管理</w:t>
      </w:r>
      <w:r>
        <w:rPr>
          <w:rFonts w:ascii="仿宋" w:hAnsi="仿宋" w:eastAsia="仿宋"/>
          <w:sz w:val="28"/>
          <w:szCs w:val="24"/>
        </w:rPr>
        <w:t>和预防工作</w:t>
      </w:r>
      <w:r>
        <w:rPr>
          <w:rFonts w:hint="eastAsia" w:ascii="仿宋" w:hAnsi="仿宋" w:eastAsia="仿宋"/>
          <w:sz w:val="28"/>
          <w:szCs w:val="24"/>
        </w:rPr>
        <w:t>，</w:t>
      </w:r>
      <w:r>
        <w:rPr>
          <w:rFonts w:hint="eastAsia" w:ascii="仿宋" w:hAnsi="仿宋" w:eastAsia="仿宋"/>
          <w:sz w:val="28"/>
          <w:szCs w:val="24"/>
          <w:lang w:eastAsia="zh-CN"/>
        </w:rPr>
        <w:t>对检查条款和</w:t>
      </w:r>
      <w:r>
        <w:rPr>
          <w:rFonts w:ascii="仿宋" w:hAnsi="仿宋" w:eastAsia="仿宋"/>
          <w:sz w:val="28"/>
          <w:szCs w:val="24"/>
        </w:rPr>
        <w:t>检查结果</w:t>
      </w:r>
      <w:r>
        <w:rPr>
          <w:rFonts w:hint="eastAsia" w:ascii="仿宋" w:hAnsi="仿宋" w:eastAsia="仿宋"/>
          <w:sz w:val="28"/>
          <w:szCs w:val="24"/>
          <w:lang w:eastAsia="zh-CN"/>
        </w:rPr>
        <w:t>进行了分级</w:t>
      </w:r>
      <w:r>
        <w:rPr>
          <w:rFonts w:ascii="仿宋" w:hAnsi="仿宋" w:eastAsia="仿宋"/>
          <w:sz w:val="28"/>
          <w:szCs w:val="24"/>
        </w:rPr>
        <w:t>。</w:t>
      </w:r>
    </w:p>
    <w:p>
      <w:pPr>
        <w:keepNext w:val="0"/>
        <w:keepLines w:val="0"/>
        <w:pageBreakBefore w:val="0"/>
        <w:widowControl w:val="0"/>
        <w:kinsoku/>
        <w:wordWrap/>
        <w:overflowPunct/>
        <w:topLinePunct w:val="0"/>
        <w:autoSpaceDE/>
        <w:autoSpaceDN/>
        <w:bidi w:val="0"/>
        <w:adjustRightInd/>
        <w:snapToGrid/>
        <w:spacing w:before="156" w:line="560" w:lineRule="exact"/>
        <w:ind w:firstLine="600" w:firstLineChars="200"/>
        <w:jc w:val="left"/>
        <w:textAlignment w:val="auto"/>
        <w:rPr>
          <w:rFonts w:hint="eastAsia" w:ascii="仿宋" w:hAnsi="仿宋" w:eastAsia="仿宋"/>
          <w:b/>
          <w:sz w:val="30"/>
          <w:szCs w:val="30"/>
          <w:lang w:eastAsia="zh-CN"/>
        </w:rPr>
      </w:pPr>
      <w:r>
        <w:rPr>
          <w:rFonts w:hint="eastAsia" w:ascii="仿宋" w:hAnsi="仿宋" w:eastAsia="仿宋"/>
          <w:b/>
          <w:sz w:val="30"/>
          <w:szCs w:val="30"/>
          <w:lang w:val="en-US" w:eastAsia="zh-CN"/>
        </w:rPr>
        <w:t>1</w:t>
      </w:r>
      <w:r>
        <w:rPr>
          <w:rFonts w:hint="eastAsia" w:ascii="仿宋" w:hAnsi="仿宋" w:eastAsia="仿宋"/>
          <w:b/>
          <w:sz w:val="30"/>
          <w:szCs w:val="30"/>
        </w:rPr>
        <w:t>.安全</w:t>
      </w:r>
      <w:r>
        <w:rPr>
          <w:rFonts w:ascii="仿宋" w:hAnsi="仿宋" w:eastAsia="仿宋"/>
          <w:b/>
          <w:sz w:val="30"/>
          <w:szCs w:val="30"/>
        </w:rPr>
        <w:t>检查</w:t>
      </w:r>
      <w:r>
        <w:rPr>
          <w:rFonts w:hint="eastAsia" w:ascii="仿宋" w:hAnsi="仿宋" w:eastAsia="仿宋"/>
          <w:b/>
          <w:sz w:val="30"/>
          <w:szCs w:val="30"/>
          <w:lang w:eastAsia="zh-CN"/>
        </w:rPr>
        <w:t>条款分级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olor w:val="FF0000"/>
          <w:sz w:val="28"/>
          <w:szCs w:val="24"/>
          <w:highlight w:val="none"/>
          <w:u w:val="single"/>
        </w:rPr>
      </w:pPr>
      <w:r>
        <w:rPr>
          <w:rFonts w:hint="eastAsia" w:ascii="仿宋" w:hAnsi="仿宋" w:eastAsia="仿宋"/>
          <w:sz w:val="28"/>
          <w:szCs w:val="24"/>
        </w:rPr>
        <w:t>根据《2018高等学校实验室安全检查项目表》35</w:t>
      </w:r>
      <w:r>
        <w:rPr>
          <w:rFonts w:ascii="仿宋" w:hAnsi="仿宋" w:eastAsia="仿宋"/>
          <w:sz w:val="28"/>
          <w:szCs w:val="24"/>
        </w:rPr>
        <w:t>8</w:t>
      </w:r>
      <w:r>
        <w:rPr>
          <w:rFonts w:hint="eastAsia" w:ascii="仿宋" w:hAnsi="仿宋" w:eastAsia="仿宋"/>
          <w:sz w:val="28"/>
          <w:szCs w:val="24"/>
        </w:rPr>
        <w:t>条款</w:t>
      </w:r>
      <w:r>
        <w:rPr>
          <w:rFonts w:ascii="仿宋" w:hAnsi="仿宋" w:eastAsia="仿宋"/>
          <w:sz w:val="28"/>
          <w:szCs w:val="24"/>
        </w:rPr>
        <w:t>，</w:t>
      </w:r>
      <w:r>
        <w:rPr>
          <w:rFonts w:hint="eastAsia" w:ascii="仿宋" w:hAnsi="仿宋" w:eastAsia="仿宋"/>
          <w:sz w:val="28"/>
          <w:szCs w:val="24"/>
        </w:rPr>
        <w:t>按照重要性、导向</w:t>
      </w:r>
      <w:r>
        <w:rPr>
          <w:rFonts w:ascii="仿宋" w:hAnsi="仿宋" w:eastAsia="仿宋"/>
          <w:sz w:val="28"/>
          <w:szCs w:val="24"/>
        </w:rPr>
        <w:t>性</w:t>
      </w:r>
      <w:r>
        <w:rPr>
          <w:rFonts w:hint="eastAsia" w:ascii="仿宋" w:hAnsi="仿宋" w:eastAsia="仿宋"/>
          <w:sz w:val="28"/>
          <w:szCs w:val="24"/>
        </w:rPr>
        <w:t>情况进行星级划分，</w:t>
      </w:r>
      <w:r>
        <w:rPr>
          <w:rFonts w:hint="eastAsia" w:ascii="仿宋" w:hAnsi="仿宋" w:eastAsia="仿宋"/>
          <w:color w:val="FF0000"/>
          <w:sz w:val="28"/>
          <w:szCs w:val="24"/>
          <w:highlight w:val="none"/>
          <w:u w:val="single"/>
        </w:rPr>
        <w:t>其中</w:t>
      </w:r>
      <w:r>
        <w:rPr>
          <w:rFonts w:ascii="仿宋" w:hAnsi="仿宋" w:eastAsia="仿宋"/>
          <w:color w:val="FF0000"/>
          <w:sz w:val="28"/>
          <w:szCs w:val="24"/>
          <w:highlight w:val="none"/>
          <w:u w:val="single"/>
        </w:rPr>
        <w:t>三星</w:t>
      </w:r>
      <w:r>
        <w:rPr>
          <w:rFonts w:hint="eastAsia" w:ascii="仿宋" w:hAnsi="仿宋" w:eastAsia="仿宋"/>
          <w:color w:val="FF0000"/>
          <w:sz w:val="28"/>
          <w:szCs w:val="24"/>
          <w:highlight w:val="none"/>
          <w:u w:val="single"/>
        </w:rPr>
        <w:t>“***”5个</w:t>
      </w:r>
      <w:r>
        <w:rPr>
          <w:rFonts w:hint="eastAsia" w:ascii="仿宋" w:hAnsi="仿宋" w:eastAsia="仿宋"/>
          <w:color w:val="FF0000"/>
          <w:sz w:val="28"/>
          <w:szCs w:val="24"/>
          <w:highlight w:val="none"/>
          <w:u w:val="single"/>
          <w:lang w:eastAsia="zh-CN"/>
        </w:rPr>
        <w:t>（</w:t>
      </w:r>
      <w:r>
        <w:rPr>
          <w:rFonts w:hint="eastAsia" w:ascii="仿宋" w:hAnsi="仿宋" w:eastAsia="仿宋"/>
          <w:color w:val="FF0000"/>
          <w:sz w:val="28"/>
          <w:szCs w:val="24"/>
          <w:highlight w:val="none"/>
          <w:u w:val="single"/>
        </w:rPr>
        <w:t>2018</w:t>
      </w:r>
      <w:r>
        <w:rPr>
          <w:rFonts w:hint="eastAsia" w:ascii="仿宋" w:hAnsi="仿宋" w:eastAsia="仿宋"/>
          <w:color w:val="FF0000"/>
          <w:sz w:val="28"/>
          <w:szCs w:val="24"/>
          <w:highlight w:val="none"/>
          <w:u w:val="single"/>
          <w:lang w:eastAsia="zh-CN"/>
        </w:rPr>
        <w:t>年全国</w:t>
      </w:r>
      <w:r>
        <w:rPr>
          <w:rFonts w:hint="eastAsia" w:ascii="仿宋" w:hAnsi="仿宋" w:eastAsia="仿宋"/>
          <w:color w:val="FF0000"/>
          <w:sz w:val="28"/>
          <w:szCs w:val="24"/>
          <w:highlight w:val="none"/>
          <w:u w:val="single"/>
        </w:rPr>
        <w:t>高等学校实验室安全检查项目表</w:t>
      </w:r>
      <w:r>
        <w:rPr>
          <w:rFonts w:hint="eastAsia" w:ascii="仿宋" w:hAnsi="仿宋" w:eastAsia="仿宋"/>
          <w:color w:val="FF0000"/>
          <w:sz w:val="28"/>
          <w:szCs w:val="24"/>
          <w:highlight w:val="none"/>
          <w:u w:val="single"/>
          <w:lang w:eastAsia="zh-CN"/>
        </w:rPr>
        <w:t>中</w:t>
      </w:r>
      <w:r>
        <w:rPr>
          <w:rFonts w:hint="eastAsia" w:ascii="仿宋" w:hAnsi="仿宋" w:eastAsia="仿宋"/>
          <w:b/>
          <w:bCs/>
          <w:color w:val="FF0000"/>
          <w:sz w:val="28"/>
          <w:szCs w:val="24"/>
          <w:highlight w:val="none"/>
          <w:u w:val="single"/>
          <w:lang w:eastAsia="zh-CN"/>
        </w:rPr>
        <w:t>标红</w:t>
      </w:r>
      <w:r>
        <w:rPr>
          <w:rFonts w:hint="eastAsia" w:ascii="仿宋" w:hAnsi="仿宋" w:eastAsia="仿宋"/>
          <w:color w:val="FF0000"/>
          <w:sz w:val="28"/>
          <w:szCs w:val="24"/>
          <w:highlight w:val="none"/>
          <w:u w:val="single"/>
          <w:lang w:eastAsia="zh-CN"/>
        </w:rPr>
        <w:t>）</w:t>
      </w:r>
      <w:r>
        <w:rPr>
          <w:rFonts w:hint="eastAsia" w:ascii="仿宋" w:hAnsi="仿宋" w:eastAsia="仿宋"/>
          <w:color w:val="FF0000"/>
          <w:sz w:val="28"/>
          <w:szCs w:val="24"/>
          <w:highlight w:val="none"/>
          <w:u w:val="single"/>
        </w:rPr>
        <w:t>，表示</w:t>
      </w:r>
      <w:r>
        <w:rPr>
          <w:rFonts w:ascii="仿宋" w:hAnsi="仿宋" w:eastAsia="仿宋"/>
          <w:color w:val="FF0000"/>
          <w:sz w:val="28"/>
          <w:szCs w:val="24"/>
          <w:highlight w:val="none"/>
          <w:u w:val="single"/>
        </w:rPr>
        <w:t>非常重</w:t>
      </w:r>
      <w:r>
        <w:rPr>
          <w:rFonts w:hint="eastAsia" w:ascii="仿宋" w:hAnsi="仿宋" w:eastAsia="仿宋"/>
          <w:color w:val="FF0000"/>
          <w:sz w:val="28"/>
          <w:szCs w:val="24"/>
          <w:highlight w:val="none"/>
          <w:u w:val="single"/>
        </w:rPr>
        <w:t>要</w:t>
      </w:r>
      <w:r>
        <w:rPr>
          <w:rFonts w:ascii="仿宋" w:hAnsi="仿宋" w:eastAsia="仿宋"/>
          <w:color w:val="FF0000"/>
          <w:sz w:val="28"/>
          <w:szCs w:val="24"/>
          <w:highlight w:val="none"/>
          <w:u w:val="single"/>
        </w:rPr>
        <w:t>，</w:t>
      </w:r>
      <w:r>
        <w:rPr>
          <w:rFonts w:hint="eastAsia" w:ascii="仿宋" w:hAnsi="仿宋" w:eastAsia="仿宋"/>
          <w:color w:val="FF0000"/>
          <w:sz w:val="28"/>
          <w:szCs w:val="24"/>
          <w:highlight w:val="none"/>
          <w:u w:val="single"/>
        </w:rPr>
        <w:t>属于</w:t>
      </w:r>
      <w:r>
        <w:rPr>
          <w:rFonts w:ascii="仿宋" w:hAnsi="仿宋" w:eastAsia="仿宋"/>
          <w:color w:val="FF0000"/>
          <w:sz w:val="28"/>
          <w:szCs w:val="24"/>
          <w:highlight w:val="none"/>
          <w:u w:val="single"/>
        </w:rPr>
        <w:t>底线，必须符合</w:t>
      </w:r>
      <w:r>
        <w:rPr>
          <w:rFonts w:hint="eastAsia" w:ascii="仿宋" w:hAnsi="仿宋" w:eastAsia="仿宋"/>
          <w:color w:val="FF0000"/>
          <w:sz w:val="28"/>
          <w:szCs w:val="24"/>
          <w:highlight w:val="none"/>
        </w:rPr>
        <w:t>；</w:t>
      </w:r>
      <w:r>
        <w:rPr>
          <w:rFonts w:hint="eastAsia" w:ascii="仿宋" w:hAnsi="仿宋" w:eastAsia="仿宋"/>
          <w:color w:val="FF0000"/>
          <w:sz w:val="28"/>
          <w:szCs w:val="24"/>
          <w:highlight w:val="none"/>
          <w:u w:val="single"/>
        </w:rPr>
        <w:t>二星“**”25个</w:t>
      </w:r>
      <w:r>
        <w:rPr>
          <w:rFonts w:hint="eastAsia" w:ascii="仿宋" w:hAnsi="仿宋" w:eastAsia="仿宋"/>
          <w:color w:val="FF0000"/>
          <w:sz w:val="28"/>
          <w:szCs w:val="24"/>
          <w:highlight w:val="none"/>
          <w:u w:val="single"/>
          <w:lang w:eastAsia="zh-CN"/>
        </w:rPr>
        <w:t>（标绿）</w:t>
      </w:r>
      <w:r>
        <w:rPr>
          <w:rFonts w:hint="eastAsia" w:ascii="仿宋" w:hAnsi="仿宋" w:eastAsia="仿宋"/>
          <w:color w:val="FF0000"/>
          <w:sz w:val="28"/>
          <w:szCs w:val="24"/>
          <w:highlight w:val="none"/>
          <w:u w:val="single"/>
        </w:rPr>
        <w:t>，属于</w:t>
      </w:r>
      <w:r>
        <w:rPr>
          <w:rFonts w:ascii="仿宋" w:hAnsi="仿宋" w:eastAsia="仿宋"/>
          <w:color w:val="FF0000"/>
          <w:sz w:val="28"/>
          <w:szCs w:val="24"/>
          <w:highlight w:val="none"/>
          <w:u w:val="single"/>
        </w:rPr>
        <w:t>很重要的条款，</w:t>
      </w:r>
      <w:r>
        <w:rPr>
          <w:rFonts w:hint="eastAsia" w:ascii="仿宋" w:hAnsi="仿宋" w:eastAsia="仿宋"/>
          <w:color w:val="FF0000"/>
          <w:sz w:val="28"/>
          <w:szCs w:val="24"/>
          <w:highlight w:val="none"/>
          <w:u w:val="single"/>
        </w:rPr>
        <w:t>有严肃</w:t>
      </w:r>
      <w:r>
        <w:rPr>
          <w:rFonts w:ascii="仿宋" w:hAnsi="仿宋" w:eastAsia="仿宋"/>
          <w:color w:val="FF0000"/>
          <w:sz w:val="28"/>
          <w:szCs w:val="24"/>
          <w:highlight w:val="none"/>
          <w:u w:val="single"/>
        </w:rPr>
        <w:t>性和导向性</w:t>
      </w:r>
      <w:r>
        <w:rPr>
          <w:rFonts w:ascii="仿宋" w:hAnsi="仿宋" w:eastAsia="仿宋"/>
          <w:color w:val="FF0000"/>
          <w:sz w:val="28"/>
          <w:szCs w:val="24"/>
          <w:highlight w:val="none"/>
        </w:rPr>
        <w:t>；</w:t>
      </w:r>
      <w:r>
        <w:rPr>
          <w:rFonts w:hint="eastAsia" w:ascii="仿宋" w:hAnsi="仿宋" w:eastAsia="仿宋"/>
          <w:color w:val="FF0000"/>
          <w:sz w:val="28"/>
          <w:szCs w:val="24"/>
          <w:highlight w:val="none"/>
          <w:u w:val="single"/>
        </w:rPr>
        <w:t>一星“*”78个</w:t>
      </w:r>
      <w:r>
        <w:rPr>
          <w:rFonts w:hint="eastAsia" w:ascii="仿宋" w:hAnsi="仿宋" w:eastAsia="仿宋"/>
          <w:color w:val="FF0000"/>
          <w:sz w:val="28"/>
          <w:szCs w:val="24"/>
          <w:highlight w:val="none"/>
          <w:u w:val="single"/>
          <w:lang w:eastAsia="zh-CN"/>
        </w:rPr>
        <w:t>（标蓝）</w:t>
      </w:r>
      <w:r>
        <w:rPr>
          <w:rFonts w:hint="eastAsia" w:ascii="仿宋" w:hAnsi="仿宋" w:eastAsia="仿宋"/>
          <w:color w:val="FF0000"/>
          <w:sz w:val="28"/>
          <w:szCs w:val="24"/>
          <w:highlight w:val="none"/>
          <w:u w:val="single"/>
        </w:rPr>
        <w:t>，属于</w:t>
      </w:r>
      <w:r>
        <w:rPr>
          <w:rFonts w:ascii="仿宋" w:hAnsi="仿宋" w:eastAsia="仿宋"/>
          <w:color w:val="FF0000"/>
          <w:sz w:val="28"/>
          <w:szCs w:val="24"/>
          <w:highlight w:val="none"/>
          <w:u w:val="single"/>
        </w:rPr>
        <w:t>比较重要</w:t>
      </w:r>
      <w:r>
        <w:rPr>
          <w:rFonts w:hint="eastAsia" w:ascii="仿宋" w:hAnsi="仿宋" w:eastAsia="仿宋"/>
          <w:color w:val="FF0000"/>
          <w:sz w:val="28"/>
          <w:szCs w:val="24"/>
          <w:highlight w:val="none"/>
          <w:u w:val="single"/>
          <w:lang w:eastAsia="zh-CN"/>
        </w:rPr>
        <w:t>的条款（</w:t>
      </w:r>
      <w:r>
        <w:rPr>
          <w:rFonts w:hint="eastAsia" w:ascii="仿宋" w:hAnsi="仿宋" w:eastAsia="仿宋"/>
          <w:color w:val="FF0000"/>
          <w:sz w:val="28"/>
          <w:szCs w:val="24"/>
          <w:highlight w:val="none"/>
          <w:u w:val="single"/>
        </w:rPr>
        <w:t>见</w:t>
      </w:r>
      <w:r>
        <w:rPr>
          <w:rFonts w:hint="eastAsia" w:ascii="仿宋" w:hAnsi="仿宋" w:eastAsia="仿宋"/>
          <w:b w:val="0"/>
          <w:bCs w:val="0"/>
          <w:color w:val="FF0000"/>
          <w:sz w:val="28"/>
          <w:szCs w:val="24"/>
          <w:highlight w:val="none"/>
          <w:u w:val="single"/>
        </w:rPr>
        <w:t>表</w:t>
      </w:r>
      <w:r>
        <w:rPr>
          <w:rFonts w:hint="eastAsia" w:ascii="仿宋" w:hAnsi="仿宋" w:eastAsia="仿宋"/>
          <w:b w:val="0"/>
          <w:bCs w:val="0"/>
          <w:color w:val="FF0000"/>
          <w:sz w:val="28"/>
          <w:szCs w:val="24"/>
          <w:highlight w:val="none"/>
          <w:u w:val="single"/>
          <w:lang w:val="en-US" w:eastAsia="zh-CN"/>
        </w:rPr>
        <w:t>1</w:t>
      </w:r>
      <w:r>
        <w:rPr>
          <w:rFonts w:hint="eastAsia" w:ascii="仿宋" w:hAnsi="仿宋" w:eastAsia="仿宋"/>
          <w:color w:val="FF0000"/>
          <w:sz w:val="28"/>
          <w:szCs w:val="24"/>
          <w:highlight w:val="none"/>
          <w:u w:val="single"/>
          <w:lang w:eastAsia="zh-CN"/>
        </w:rPr>
        <w:t>）</w:t>
      </w:r>
      <w:r>
        <w:rPr>
          <w:rFonts w:ascii="仿宋" w:hAnsi="仿宋" w:eastAsia="仿宋"/>
          <w:sz w:val="28"/>
          <w:szCs w:val="24"/>
        </w:rPr>
        <w:t>。</w:t>
      </w:r>
      <w:r>
        <w:rPr>
          <w:rFonts w:hint="eastAsia" w:ascii="仿宋" w:hAnsi="仿宋" w:eastAsia="仿宋"/>
          <w:color w:val="FF0000"/>
          <w:sz w:val="28"/>
          <w:szCs w:val="24"/>
          <w:highlight w:val="none"/>
          <w:u w:val="single"/>
        </w:rPr>
        <w:t>2018</w:t>
      </w:r>
      <w:r>
        <w:rPr>
          <w:rFonts w:hint="eastAsia" w:ascii="仿宋" w:hAnsi="仿宋" w:eastAsia="仿宋"/>
          <w:color w:val="FF0000"/>
          <w:sz w:val="28"/>
          <w:szCs w:val="24"/>
          <w:highlight w:val="none"/>
          <w:u w:val="single"/>
          <w:lang w:eastAsia="zh-CN"/>
        </w:rPr>
        <w:t>年全国</w:t>
      </w:r>
      <w:r>
        <w:rPr>
          <w:rFonts w:hint="eastAsia" w:ascii="仿宋" w:hAnsi="仿宋" w:eastAsia="仿宋"/>
          <w:color w:val="FF0000"/>
          <w:sz w:val="28"/>
          <w:szCs w:val="24"/>
          <w:highlight w:val="none"/>
          <w:u w:val="single"/>
        </w:rPr>
        <w:t>高等学校实验室安全检查项目表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b/>
          <w:sz w:val="30"/>
          <w:szCs w:val="30"/>
        </w:rPr>
      </w:pPr>
      <w:r>
        <w:rPr>
          <w:rFonts w:hint="eastAsia" w:ascii="仿宋" w:hAnsi="仿宋" w:eastAsia="仿宋"/>
          <w:sz w:val="28"/>
          <w:szCs w:val="24"/>
          <w:u w:val="single"/>
        </w:rPr>
        <w:t>没有</w:t>
      </w:r>
      <w:r>
        <w:rPr>
          <w:rFonts w:ascii="仿宋" w:hAnsi="仿宋" w:eastAsia="仿宋"/>
          <w:sz w:val="28"/>
          <w:szCs w:val="24"/>
          <w:u w:val="single"/>
        </w:rPr>
        <w:t>星号的条款</w:t>
      </w:r>
      <w:r>
        <w:rPr>
          <w:rFonts w:hint="eastAsia" w:ascii="仿宋" w:hAnsi="仿宋" w:eastAsia="仿宋"/>
          <w:sz w:val="28"/>
          <w:szCs w:val="24"/>
          <w:u w:val="single"/>
        </w:rPr>
        <w:t>，</w:t>
      </w:r>
      <w:r>
        <w:rPr>
          <w:rFonts w:ascii="仿宋" w:hAnsi="仿宋" w:eastAsia="仿宋"/>
          <w:sz w:val="28"/>
          <w:szCs w:val="24"/>
          <w:u w:val="single"/>
        </w:rPr>
        <w:t>依然是高校实验室</w:t>
      </w:r>
      <w:r>
        <w:rPr>
          <w:rFonts w:hint="eastAsia" w:ascii="仿宋" w:hAnsi="仿宋" w:eastAsia="仿宋"/>
          <w:sz w:val="28"/>
          <w:szCs w:val="24"/>
          <w:u w:val="single"/>
        </w:rPr>
        <w:t>需</w:t>
      </w:r>
      <w:r>
        <w:rPr>
          <w:rFonts w:ascii="仿宋" w:hAnsi="仿宋" w:eastAsia="仿宋"/>
          <w:sz w:val="28"/>
          <w:szCs w:val="24"/>
          <w:u w:val="single"/>
        </w:rPr>
        <w:t>做好的方方面面</w:t>
      </w:r>
      <w:r>
        <w:rPr>
          <w:rFonts w:hint="eastAsia" w:ascii="仿宋" w:hAnsi="仿宋" w:eastAsia="仿宋"/>
          <w:sz w:val="28"/>
          <w:szCs w:val="24"/>
          <w:u w:val="single"/>
        </w:rPr>
        <w:t>，现场</w:t>
      </w:r>
      <w:r>
        <w:rPr>
          <w:rFonts w:ascii="仿宋" w:hAnsi="仿宋" w:eastAsia="仿宋"/>
          <w:sz w:val="28"/>
          <w:szCs w:val="24"/>
          <w:u w:val="single"/>
        </w:rPr>
        <w:t>检查时也会抽查，不可忽视</w:t>
      </w:r>
      <w:r>
        <w:rPr>
          <w:rFonts w:ascii="仿宋" w:hAnsi="仿宋" w:eastAsia="仿宋"/>
          <w:sz w:val="28"/>
          <w:szCs w:val="24"/>
        </w:rPr>
        <w:t>。</w:t>
      </w:r>
    </w:p>
    <w:p>
      <w:pPr>
        <w:keepNext w:val="0"/>
        <w:keepLines w:val="0"/>
        <w:pageBreakBefore w:val="0"/>
        <w:widowControl w:val="0"/>
        <w:kinsoku/>
        <w:wordWrap/>
        <w:overflowPunct/>
        <w:topLinePunct w:val="0"/>
        <w:autoSpaceDE/>
        <w:autoSpaceDN/>
        <w:bidi w:val="0"/>
        <w:adjustRightInd/>
        <w:snapToGrid/>
        <w:spacing w:before="156" w:line="560" w:lineRule="exact"/>
        <w:ind w:firstLine="600" w:firstLineChars="200"/>
        <w:textAlignment w:val="auto"/>
        <w:rPr>
          <w:rFonts w:hint="eastAsia" w:ascii="仿宋" w:hAnsi="仿宋" w:eastAsia="仿宋"/>
          <w:b/>
          <w:sz w:val="30"/>
          <w:szCs w:val="30"/>
          <w:lang w:eastAsia="zh-CN"/>
        </w:rPr>
      </w:pPr>
      <w:r>
        <w:rPr>
          <w:rFonts w:hint="eastAsia" w:ascii="仿宋" w:hAnsi="仿宋" w:eastAsia="仿宋"/>
          <w:b/>
          <w:sz w:val="30"/>
          <w:szCs w:val="30"/>
          <w:lang w:val="en-US" w:eastAsia="zh-CN"/>
        </w:rPr>
        <w:t>2</w:t>
      </w:r>
      <w:r>
        <w:rPr>
          <w:rFonts w:ascii="仿宋" w:hAnsi="仿宋" w:eastAsia="仿宋"/>
          <w:b/>
          <w:sz w:val="30"/>
          <w:szCs w:val="30"/>
        </w:rPr>
        <w:t>.</w:t>
      </w:r>
      <w:r>
        <w:rPr>
          <w:rFonts w:hint="eastAsia" w:ascii="仿宋" w:hAnsi="仿宋" w:eastAsia="仿宋"/>
          <w:b/>
          <w:sz w:val="30"/>
          <w:szCs w:val="30"/>
        </w:rPr>
        <w:t>检查</w:t>
      </w:r>
      <w:r>
        <w:rPr>
          <w:rFonts w:ascii="仿宋" w:hAnsi="仿宋" w:eastAsia="仿宋"/>
          <w:b/>
          <w:sz w:val="30"/>
          <w:szCs w:val="30"/>
        </w:rPr>
        <w:t>结果分</w:t>
      </w:r>
      <w:r>
        <w:rPr>
          <w:rFonts w:hint="eastAsia" w:ascii="仿宋" w:hAnsi="仿宋" w:eastAsia="仿宋"/>
          <w:b/>
          <w:sz w:val="30"/>
          <w:szCs w:val="30"/>
          <w:lang w:eastAsia="zh-CN"/>
        </w:rPr>
        <w:t>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4"/>
        </w:rPr>
      </w:pPr>
      <w:r>
        <w:rPr>
          <w:rFonts w:hint="eastAsia" w:ascii="仿宋" w:hAnsi="仿宋" w:eastAsia="仿宋"/>
          <w:sz w:val="28"/>
          <w:szCs w:val="24"/>
        </w:rPr>
        <w:t>根据</w:t>
      </w:r>
      <w:r>
        <w:rPr>
          <w:rFonts w:ascii="仿宋" w:hAnsi="仿宋" w:eastAsia="仿宋"/>
          <w:sz w:val="28"/>
          <w:szCs w:val="24"/>
        </w:rPr>
        <w:t>专家组现场</w:t>
      </w:r>
      <w:r>
        <w:rPr>
          <w:rFonts w:hint="eastAsia" w:ascii="仿宋" w:hAnsi="仿宋" w:eastAsia="仿宋"/>
          <w:sz w:val="28"/>
          <w:szCs w:val="24"/>
        </w:rPr>
        <w:t>检查，</w:t>
      </w:r>
      <w:r>
        <w:rPr>
          <w:rFonts w:ascii="仿宋" w:hAnsi="仿宋" w:eastAsia="仿宋"/>
          <w:sz w:val="28"/>
          <w:szCs w:val="24"/>
        </w:rPr>
        <w:t>将</w:t>
      </w:r>
      <w:r>
        <w:rPr>
          <w:rFonts w:hint="eastAsia" w:ascii="仿宋" w:hAnsi="仿宋" w:eastAsia="仿宋"/>
          <w:sz w:val="28"/>
          <w:szCs w:val="24"/>
        </w:rPr>
        <w:t>结果分为四</w:t>
      </w:r>
      <w:r>
        <w:rPr>
          <w:rFonts w:hint="eastAsia" w:ascii="仿宋" w:hAnsi="仿宋" w:eastAsia="仿宋"/>
          <w:sz w:val="28"/>
          <w:szCs w:val="24"/>
          <w:lang w:eastAsia="zh-CN"/>
        </w:rPr>
        <w:t>级</w:t>
      </w:r>
      <w:r>
        <w:rPr>
          <w:rFonts w:hint="eastAsia" w:ascii="仿宋" w:hAnsi="仿宋" w:eastAsia="仿宋"/>
          <w:sz w:val="28"/>
          <w:szCs w:val="24"/>
        </w:rPr>
        <w:t>，</w:t>
      </w:r>
      <w:r>
        <w:rPr>
          <w:rFonts w:ascii="仿宋" w:hAnsi="仿宋" w:eastAsia="仿宋"/>
          <w:sz w:val="28"/>
          <w:szCs w:val="24"/>
        </w:rPr>
        <w:t>即</w:t>
      </w:r>
      <w:r>
        <w:rPr>
          <w:rFonts w:hint="eastAsia" w:ascii="仿宋" w:hAnsi="仿宋" w:eastAsia="仿宋"/>
          <w:sz w:val="28"/>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4"/>
        </w:rPr>
      </w:pPr>
      <w:r>
        <w:rPr>
          <w:rFonts w:hint="eastAsia" w:ascii="仿宋" w:hAnsi="仿宋" w:eastAsia="仿宋"/>
          <w:sz w:val="28"/>
          <w:szCs w:val="24"/>
          <w:lang w:val="en-US" w:eastAsia="zh-CN"/>
        </w:rPr>
        <w:t>A级</w:t>
      </w:r>
      <w:r>
        <w:rPr>
          <w:rFonts w:ascii="仿宋" w:hAnsi="仿宋" w:eastAsia="仿宋"/>
          <w:sz w:val="28"/>
          <w:szCs w:val="24"/>
        </w:rPr>
        <w:t>：</w:t>
      </w:r>
      <w:r>
        <w:rPr>
          <w:rFonts w:hint="eastAsia" w:ascii="仿宋" w:hAnsi="仿宋" w:eastAsia="仿宋"/>
          <w:sz w:val="28"/>
          <w:szCs w:val="24"/>
        </w:rPr>
        <w:t>通过；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4"/>
        </w:rPr>
      </w:pPr>
      <w:r>
        <w:rPr>
          <w:rFonts w:hint="eastAsia" w:ascii="仿宋" w:hAnsi="仿宋" w:eastAsia="仿宋"/>
          <w:sz w:val="28"/>
          <w:szCs w:val="24"/>
          <w:lang w:val="en-US" w:eastAsia="zh-CN"/>
        </w:rPr>
        <w:t>B级</w:t>
      </w:r>
      <w:r>
        <w:rPr>
          <w:rFonts w:ascii="仿宋" w:hAnsi="仿宋" w:eastAsia="仿宋"/>
          <w:sz w:val="28"/>
          <w:szCs w:val="24"/>
        </w:rPr>
        <w:t>：</w:t>
      </w:r>
      <w:r>
        <w:rPr>
          <w:rFonts w:hint="eastAsia" w:ascii="仿宋" w:hAnsi="仿宋" w:eastAsia="仿宋"/>
          <w:sz w:val="28"/>
          <w:szCs w:val="24"/>
        </w:rPr>
        <w:t>整改后通过；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4"/>
        </w:rPr>
      </w:pPr>
      <w:r>
        <w:rPr>
          <w:rFonts w:hint="eastAsia" w:ascii="仿宋" w:hAnsi="仿宋" w:eastAsia="仿宋"/>
          <w:sz w:val="28"/>
          <w:szCs w:val="24"/>
          <w:lang w:val="en-US" w:eastAsia="zh-CN"/>
        </w:rPr>
        <w:t>C级</w:t>
      </w:r>
      <w:r>
        <w:rPr>
          <w:rFonts w:ascii="仿宋" w:hAnsi="仿宋" w:eastAsia="仿宋"/>
          <w:sz w:val="28"/>
          <w:szCs w:val="24"/>
        </w:rPr>
        <w:t>：</w:t>
      </w:r>
      <w:r>
        <w:rPr>
          <w:rFonts w:hint="eastAsia" w:ascii="仿宋" w:hAnsi="仿宋" w:eastAsia="仿宋"/>
          <w:sz w:val="28"/>
          <w:szCs w:val="24"/>
        </w:rPr>
        <w:t>整改，</w:t>
      </w:r>
      <w:r>
        <w:rPr>
          <w:rFonts w:ascii="仿宋" w:hAnsi="仿宋" w:eastAsia="仿宋"/>
          <w:sz w:val="28"/>
          <w:szCs w:val="24"/>
        </w:rPr>
        <w:t>经</w:t>
      </w:r>
      <w:r>
        <w:rPr>
          <w:rFonts w:hint="eastAsia" w:ascii="仿宋" w:hAnsi="仿宋" w:eastAsia="仿宋"/>
          <w:sz w:val="28"/>
          <w:szCs w:val="24"/>
        </w:rPr>
        <w:t>现场复查合格后通过；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4"/>
          <w:szCs w:val="24"/>
        </w:rPr>
      </w:pPr>
      <w:r>
        <w:rPr>
          <w:rFonts w:hint="eastAsia" w:ascii="仿宋" w:hAnsi="仿宋" w:eastAsia="仿宋"/>
          <w:sz w:val="28"/>
          <w:szCs w:val="24"/>
          <w:lang w:val="en-US" w:eastAsia="zh-CN"/>
        </w:rPr>
        <w:t>D级</w:t>
      </w:r>
      <w:r>
        <w:rPr>
          <w:rFonts w:ascii="仿宋" w:hAnsi="仿宋" w:eastAsia="仿宋"/>
          <w:sz w:val="28"/>
          <w:szCs w:val="24"/>
        </w:rPr>
        <w:t>：</w:t>
      </w:r>
      <w:r>
        <w:rPr>
          <w:rFonts w:hint="eastAsia" w:ascii="仿宋" w:hAnsi="仿宋" w:eastAsia="仿宋"/>
          <w:sz w:val="28"/>
          <w:szCs w:val="24"/>
        </w:rPr>
        <w:t>不通过。</w:t>
      </w:r>
    </w:p>
    <w:p>
      <w:pPr>
        <w:keepNext w:val="0"/>
        <w:keepLines w:val="0"/>
        <w:pageBreakBefore w:val="0"/>
        <w:widowControl w:val="0"/>
        <w:kinsoku/>
        <w:wordWrap/>
        <w:overflowPunct/>
        <w:topLinePunct w:val="0"/>
        <w:autoSpaceDE/>
        <w:autoSpaceDN/>
        <w:bidi w:val="0"/>
        <w:adjustRightInd/>
        <w:snapToGrid/>
        <w:spacing w:before="156" w:line="560" w:lineRule="exact"/>
        <w:ind w:firstLine="600" w:firstLineChars="200"/>
        <w:jc w:val="left"/>
        <w:textAlignment w:val="auto"/>
        <w:rPr>
          <w:rFonts w:ascii="仿宋" w:hAnsi="仿宋" w:eastAsia="仿宋"/>
          <w:b/>
          <w:sz w:val="30"/>
          <w:szCs w:val="30"/>
        </w:rPr>
      </w:pPr>
      <w:r>
        <w:rPr>
          <w:rFonts w:ascii="仿宋" w:hAnsi="仿宋" w:eastAsia="仿宋"/>
          <w:b/>
          <w:sz w:val="30"/>
          <w:szCs w:val="30"/>
        </w:rPr>
        <w:t>3</w:t>
      </w:r>
      <w:r>
        <w:rPr>
          <w:rFonts w:hint="eastAsia" w:ascii="仿宋" w:hAnsi="仿宋" w:eastAsia="仿宋"/>
          <w:b/>
          <w:sz w:val="30"/>
          <w:szCs w:val="30"/>
        </w:rPr>
        <w:t>.检查结果的</w:t>
      </w:r>
      <w:r>
        <w:rPr>
          <w:rFonts w:ascii="仿宋" w:hAnsi="仿宋" w:eastAsia="仿宋"/>
          <w:b/>
          <w:sz w:val="30"/>
          <w:szCs w:val="30"/>
        </w:rPr>
        <w:t>分</w:t>
      </w:r>
      <w:r>
        <w:rPr>
          <w:rFonts w:hint="eastAsia" w:ascii="仿宋" w:hAnsi="仿宋" w:eastAsia="仿宋"/>
          <w:b/>
          <w:sz w:val="30"/>
          <w:szCs w:val="30"/>
          <w:lang w:eastAsia="zh-CN"/>
        </w:rPr>
        <w:t>级</w:t>
      </w:r>
      <w:r>
        <w:rPr>
          <w:rFonts w:ascii="仿宋" w:hAnsi="仿宋" w:eastAsia="仿宋"/>
          <w:b/>
          <w:sz w:val="30"/>
          <w:szCs w:val="30"/>
        </w:rPr>
        <w:t>判别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4"/>
        </w:rPr>
      </w:pPr>
      <w:r>
        <w:rPr>
          <w:rFonts w:hint="eastAsia" w:ascii="仿宋" w:hAnsi="仿宋" w:eastAsia="仿宋"/>
          <w:sz w:val="28"/>
          <w:szCs w:val="24"/>
        </w:rPr>
        <w:t>根据现场检查</w:t>
      </w:r>
      <w:r>
        <w:rPr>
          <w:rFonts w:ascii="仿宋" w:hAnsi="仿宋" w:eastAsia="仿宋"/>
          <w:sz w:val="28"/>
          <w:szCs w:val="24"/>
        </w:rPr>
        <w:t>发现</w:t>
      </w:r>
      <w:r>
        <w:rPr>
          <w:rFonts w:hint="eastAsia" w:ascii="仿宋" w:hAnsi="仿宋" w:eastAsia="仿宋"/>
          <w:sz w:val="28"/>
          <w:szCs w:val="24"/>
        </w:rPr>
        <w:t>安全</w:t>
      </w:r>
      <w:r>
        <w:rPr>
          <w:rFonts w:ascii="仿宋" w:hAnsi="仿宋" w:eastAsia="仿宋"/>
          <w:sz w:val="28"/>
          <w:szCs w:val="24"/>
        </w:rPr>
        <w:t>问题和隐患的</w:t>
      </w:r>
      <w:r>
        <w:rPr>
          <w:rFonts w:hint="eastAsia" w:ascii="仿宋" w:hAnsi="仿宋" w:eastAsia="仿宋"/>
          <w:sz w:val="28"/>
          <w:szCs w:val="24"/>
        </w:rPr>
        <w:t>情况</w:t>
      </w:r>
      <w:r>
        <w:rPr>
          <w:rFonts w:ascii="仿宋" w:hAnsi="仿宋" w:eastAsia="仿宋"/>
          <w:sz w:val="28"/>
          <w:szCs w:val="24"/>
        </w:rPr>
        <w:t>，对照指标</w:t>
      </w:r>
      <w:r>
        <w:rPr>
          <w:rFonts w:hint="eastAsia" w:ascii="仿宋" w:hAnsi="仿宋" w:eastAsia="仿宋"/>
          <w:sz w:val="28"/>
          <w:szCs w:val="24"/>
        </w:rPr>
        <w:t>条款</w:t>
      </w:r>
      <w:r>
        <w:rPr>
          <w:rFonts w:ascii="仿宋" w:hAnsi="仿宋" w:eastAsia="仿宋"/>
          <w:sz w:val="28"/>
          <w:szCs w:val="24"/>
        </w:rPr>
        <w:t>的</w:t>
      </w:r>
      <w:r>
        <w:rPr>
          <w:rFonts w:hint="eastAsia" w:ascii="仿宋" w:hAnsi="仿宋" w:eastAsia="仿宋"/>
          <w:sz w:val="28"/>
          <w:szCs w:val="24"/>
        </w:rPr>
        <w:t>星级和</w:t>
      </w:r>
      <w:r>
        <w:rPr>
          <w:rFonts w:ascii="仿宋" w:hAnsi="仿宋" w:eastAsia="仿宋"/>
          <w:sz w:val="28"/>
          <w:szCs w:val="24"/>
        </w:rPr>
        <w:t>数量，</w:t>
      </w:r>
      <w:r>
        <w:rPr>
          <w:rFonts w:hint="eastAsia" w:ascii="仿宋" w:hAnsi="仿宋" w:eastAsia="仿宋"/>
          <w:sz w:val="28"/>
          <w:szCs w:val="24"/>
        </w:rPr>
        <w:t>判定</w:t>
      </w:r>
      <w:r>
        <w:rPr>
          <w:rFonts w:ascii="仿宋" w:hAnsi="仿宋" w:eastAsia="仿宋"/>
          <w:sz w:val="28"/>
          <w:szCs w:val="24"/>
        </w:rPr>
        <w:t>检查结果</w:t>
      </w:r>
      <w:r>
        <w:rPr>
          <w:rFonts w:hint="eastAsia" w:ascii="仿宋" w:hAnsi="仿宋" w:eastAsia="仿宋"/>
          <w:sz w:val="28"/>
          <w:szCs w:val="24"/>
        </w:rPr>
        <w:t>档级，</w:t>
      </w:r>
      <w:r>
        <w:rPr>
          <w:rFonts w:ascii="仿宋" w:hAnsi="仿宋" w:eastAsia="仿宋"/>
          <w:sz w:val="28"/>
          <w:szCs w:val="24"/>
        </w:rPr>
        <w:t>作为</w:t>
      </w:r>
      <w:r>
        <w:rPr>
          <w:rFonts w:hint="eastAsia" w:ascii="仿宋" w:hAnsi="仿宋" w:eastAsia="仿宋"/>
          <w:sz w:val="28"/>
          <w:szCs w:val="24"/>
          <w:lang w:eastAsia="zh-CN"/>
        </w:rPr>
        <w:t>现场</w:t>
      </w:r>
      <w:r>
        <w:rPr>
          <w:rFonts w:ascii="仿宋" w:hAnsi="仿宋" w:eastAsia="仿宋"/>
          <w:sz w:val="28"/>
          <w:szCs w:val="24"/>
        </w:rPr>
        <w:t>检查的结</w:t>
      </w:r>
      <w:r>
        <w:rPr>
          <w:rFonts w:hint="eastAsia" w:ascii="仿宋" w:hAnsi="仿宋" w:eastAsia="仿宋"/>
          <w:sz w:val="28"/>
          <w:szCs w:val="24"/>
        </w:rPr>
        <w:t>果</w:t>
      </w:r>
      <w:r>
        <w:rPr>
          <w:rFonts w:hint="eastAsia" w:ascii="仿宋" w:hAnsi="仿宋" w:eastAsia="仿宋"/>
          <w:sz w:val="28"/>
          <w:szCs w:val="24"/>
          <w:lang w:eastAsia="zh-CN"/>
        </w:rPr>
        <w:t>（</w:t>
      </w:r>
      <w:r>
        <w:rPr>
          <w:rFonts w:hint="eastAsia" w:ascii="仿宋" w:hAnsi="仿宋" w:eastAsia="仿宋"/>
          <w:sz w:val="28"/>
          <w:szCs w:val="24"/>
        </w:rPr>
        <w:t>见</w:t>
      </w:r>
      <w:r>
        <w:rPr>
          <w:rFonts w:ascii="仿宋" w:hAnsi="仿宋" w:eastAsia="仿宋"/>
          <w:b w:val="0"/>
          <w:bCs w:val="0"/>
          <w:sz w:val="28"/>
          <w:szCs w:val="24"/>
        </w:rPr>
        <w:t>表</w:t>
      </w:r>
      <w:r>
        <w:rPr>
          <w:rFonts w:hint="eastAsia" w:ascii="仿宋" w:hAnsi="仿宋" w:eastAsia="仿宋"/>
          <w:b w:val="0"/>
          <w:bCs w:val="0"/>
          <w:sz w:val="28"/>
          <w:szCs w:val="24"/>
          <w:lang w:val="en-US" w:eastAsia="zh-CN"/>
        </w:rPr>
        <w:t>2</w:t>
      </w:r>
      <w:r>
        <w:rPr>
          <w:rFonts w:hint="eastAsia" w:ascii="仿宋" w:hAnsi="仿宋" w:eastAsia="仿宋"/>
          <w:sz w:val="28"/>
          <w:szCs w:val="24"/>
          <w:lang w:eastAsia="zh-CN"/>
        </w:rPr>
        <w:t>）</w:t>
      </w:r>
      <w:r>
        <w:rPr>
          <w:rFonts w:hint="eastAsia" w:ascii="仿宋" w:hAnsi="仿宋" w:eastAsia="仿宋"/>
          <w:sz w:val="28"/>
          <w:szCs w:val="2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4"/>
        </w:rPr>
      </w:pPr>
    </w:p>
    <w:p>
      <w:pPr>
        <w:spacing w:line="500" w:lineRule="exact"/>
        <w:rPr>
          <w:rFonts w:ascii="仿宋" w:hAnsi="仿宋" w:eastAsia="仿宋"/>
          <w:b/>
          <w:bCs/>
          <w:sz w:val="28"/>
          <w:szCs w:val="24"/>
        </w:rPr>
      </w:pPr>
      <w:r>
        <w:rPr>
          <w:rFonts w:hint="eastAsia" w:ascii="仿宋" w:hAnsi="仿宋" w:eastAsia="仿宋"/>
          <w:b/>
          <w:bCs/>
          <w:sz w:val="28"/>
          <w:szCs w:val="24"/>
        </w:rPr>
        <w:t>表</w:t>
      </w:r>
      <w:r>
        <w:rPr>
          <w:rFonts w:hint="eastAsia" w:ascii="仿宋" w:hAnsi="仿宋" w:eastAsia="仿宋"/>
          <w:b/>
          <w:bCs/>
          <w:sz w:val="28"/>
          <w:szCs w:val="24"/>
          <w:lang w:val="en-US" w:eastAsia="zh-CN"/>
        </w:rPr>
        <w:t>1</w:t>
      </w:r>
      <w:r>
        <w:rPr>
          <w:rFonts w:hint="eastAsia" w:ascii="仿宋" w:hAnsi="仿宋" w:eastAsia="仿宋"/>
          <w:b/>
          <w:bCs/>
          <w:sz w:val="28"/>
          <w:szCs w:val="24"/>
        </w:rPr>
        <w:t>.</w:t>
      </w:r>
    </w:p>
    <w:p>
      <w:pPr>
        <w:spacing w:line="500" w:lineRule="exact"/>
        <w:jc w:val="center"/>
        <w:rPr>
          <w:rFonts w:ascii="仿宋" w:hAnsi="仿宋" w:eastAsia="仿宋"/>
          <w:sz w:val="28"/>
          <w:szCs w:val="24"/>
        </w:rPr>
      </w:pPr>
      <w:r>
        <w:rPr>
          <w:rFonts w:hint="eastAsia" w:ascii="仿宋" w:hAnsi="仿宋" w:eastAsia="仿宋"/>
          <w:b/>
          <w:sz w:val="28"/>
          <w:szCs w:val="24"/>
        </w:rPr>
        <w:t>实验室</w:t>
      </w:r>
      <w:r>
        <w:rPr>
          <w:rFonts w:ascii="仿宋" w:hAnsi="仿宋" w:eastAsia="仿宋"/>
          <w:b/>
          <w:sz w:val="28"/>
          <w:szCs w:val="24"/>
        </w:rPr>
        <w:t>安全检查条款</w:t>
      </w:r>
      <w:r>
        <w:rPr>
          <w:rFonts w:hint="eastAsia" w:ascii="仿宋" w:hAnsi="仿宋" w:eastAsia="仿宋"/>
          <w:b/>
          <w:sz w:val="28"/>
          <w:szCs w:val="24"/>
        </w:rPr>
        <w:t>星号</w:t>
      </w:r>
      <w:r>
        <w:rPr>
          <w:rFonts w:ascii="仿宋" w:hAnsi="仿宋" w:eastAsia="仿宋"/>
          <w:b/>
          <w:sz w:val="28"/>
          <w:szCs w:val="24"/>
        </w:rPr>
        <w:t>分级</w:t>
      </w:r>
    </w:p>
    <w:tbl>
      <w:tblPr>
        <w:tblStyle w:val="26"/>
        <w:tblpPr w:leftFromText="180" w:rightFromText="180" w:vertAnchor="text" w:horzAnchor="margin" w:tblpXSpec="center" w:tblpY="37"/>
        <w:tblW w:w="9707"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5"/>
        <w:gridCol w:w="672"/>
        <w:gridCol w:w="2233"/>
        <w:gridCol w:w="5617"/>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序号</w:t>
            </w:r>
          </w:p>
        </w:tc>
        <w:tc>
          <w:tcPr>
            <w:tcW w:w="672"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编号</w:t>
            </w:r>
          </w:p>
        </w:tc>
        <w:tc>
          <w:tcPr>
            <w:tcW w:w="2233"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小类</w:t>
            </w:r>
            <w:r>
              <w:rPr>
                <w:rFonts w:asciiTheme="minorEastAsia" w:hAnsiTheme="minorEastAsia"/>
                <w:b/>
                <w:sz w:val="24"/>
                <w:szCs w:val="24"/>
              </w:rPr>
              <w:t>名称</w:t>
            </w:r>
          </w:p>
        </w:tc>
        <w:tc>
          <w:tcPr>
            <w:tcW w:w="5617"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检查</w:t>
            </w:r>
            <w:r>
              <w:rPr>
                <w:rFonts w:asciiTheme="minorEastAsia" w:hAnsiTheme="minorEastAsia"/>
                <w:b/>
                <w:sz w:val="24"/>
                <w:szCs w:val="24"/>
              </w:rPr>
              <w:t>项目</w:t>
            </w:r>
          </w:p>
        </w:tc>
        <w:tc>
          <w:tcPr>
            <w:tcW w:w="620"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条款</w:t>
            </w:r>
          </w:p>
          <w:p>
            <w:pPr>
              <w:spacing w:line="320" w:lineRule="exact"/>
              <w:jc w:val="center"/>
              <w:rPr>
                <w:rFonts w:asciiTheme="minorEastAsia" w:hAnsiTheme="minorEastAsia"/>
                <w:b/>
                <w:sz w:val="24"/>
                <w:szCs w:val="24"/>
              </w:rPr>
            </w:pPr>
            <w:r>
              <w:rPr>
                <w:rFonts w:hint="eastAsia" w:asciiTheme="minorEastAsia" w:hAnsiTheme="minorEastAsia"/>
                <w:b/>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hint="eastAsia"/>
                <w:sz w:val="21"/>
                <w:szCs w:val="21"/>
              </w:rPr>
              <w:t>1.1.1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有校级实验室安全工作领导机构，由校领导作为负责人，相关职能部门参与，设办公室</w:t>
            </w:r>
          </w:p>
        </w:tc>
        <w:tc>
          <w:tcPr>
            <w:tcW w:w="620"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1.1.2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617" w:type="dxa"/>
            <w:shd w:val="clear" w:color="auto" w:fill="auto"/>
            <w:tcMar>
              <w:left w:w="45" w:type="dxa"/>
              <w:right w:w="4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有处级职能部门主管实验室技术安全工作，下设实验室安全管理科室（3万学生规模以上且仪器设备总值超过3亿元的学校），或有专职的实验室安全管理人员</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有实验室技术安全管理办法</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8.1.2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危险化学品采购、验收、发放</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剧毒品、易制毒品、易制爆品、爆炸品购买前须经学校审批，报公安部门批准或备案后，向具有经营许可资质的单位购买。校职能部门保留资料、建立档案。不得私自从外单位获取管控化学品</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9.3.6</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病原微生物采购与保管</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自行分离高致病性病原微生物，必须在相应安全等级的实验室中进行，并报卫生或农业主管部门批准，方可保存和开展实验，资料报学校备案</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1.1.5</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各级主管实验室安全的负责人到岗一年内参与了实验室安全培训，有培训证书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院级层面安全责任体系</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成立实验室安全领导小组，由党/政主要领导作为负责人，研究所、中心、教研室、实验室等负责人参加。分管实验室的领导主管实验室安全</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2.1.3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有实验室安全检查制度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2.1.4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有实验室安全教育与实验室准入制度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10</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2.1.7</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有实验室突发事件应急预案（包括化学、生物、辐射、电气、机械等分类）</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w:t>
            </w:r>
            <w:r>
              <w:rPr>
                <w:rFonts w:ascii="Times New Roman" w:hAnsi="Times New Roman" w:cs="Times New Roman"/>
                <w:color w:val="000000"/>
                <w:sz w:val="21"/>
                <w:szCs w:val="21"/>
              </w:rPr>
              <w:t>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安全教育活动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开设合适的实验室安全必修课或选修课</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3.2.1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实验室安全考试系统</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建立了实验室安全知识考试系统，具有学习与考试功能</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危险源辨识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学校、学院层面建立了实验室安全危险源清单，内容包括涉及单位、房间、类别、数量、责任人等信息</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4.1.3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危险源辨识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涉及剧毒品、病原微生物、放射性同位素、强磁等高危场所，具备符合要求的软硬件设施，并有明显的警示标识</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4.3.3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隐患整改</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如有重大隐患，实验室应立即停止实验活动，采取相应防范措施或整改完成后方能恢复实验</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color w:val="000000"/>
                <w:sz w:val="21"/>
                <w:szCs w:val="21"/>
              </w:rPr>
              <w:t>6.4.1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门禁监控</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在剧毒品、病原微生物，特种设备和放射源存放点等重点场所安装门禁和监控设施，运转正常，有专人管理</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8.4.1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剧毒品管理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配备专门的保险柜并固定，实行双人双锁保管；对于具有高挥发性、低闪点的剧毒品应存放在具有防爆功能的冰箱内，并配备双锁；配备监控与报警装置</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8.4.2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剧毒品管理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执行双人收发、双人运输；应严格记录品种、规格以及购入、发放、退回的日期、单位及经手人、数量以及结存数量</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19</w:t>
            </w:r>
          </w:p>
        </w:tc>
        <w:tc>
          <w:tcPr>
            <w:tcW w:w="672" w:type="dxa"/>
            <w:shd w:val="clear" w:color="auto" w:fill="auto"/>
            <w:tcMar>
              <w:left w:w="45" w:type="dxa"/>
              <w:right w:w="45" w:type="dxa"/>
            </w:tcMar>
            <w:vAlign w:val="center"/>
          </w:tcPr>
          <w:p>
            <w:pPr>
              <w:spacing w:line="320" w:lineRule="exact"/>
              <w:jc w:val="center"/>
              <w:rPr>
                <w:color w:val="000000"/>
                <w:sz w:val="21"/>
                <w:szCs w:val="21"/>
              </w:rPr>
            </w:pPr>
            <w:r>
              <w:rPr>
                <w:rFonts w:ascii="Times New Roman" w:hAnsi="Times New Roman" w:cs="Times New Roman"/>
                <w:color w:val="000000"/>
                <w:sz w:val="21"/>
                <w:szCs w:val="21"/>
              </w:rPr>
              <w:t>8.4.3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剧毒品管理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使用时有两人同时在场，且计量取用后立即放回保险柜，详细记载用途，双人签字</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8.5.1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其它管控化学品管理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易制毒品分类存放、专人保管，做好领取、使用、处置记录；其中第一类易制毒品实行“五双”管理制度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8.5.3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其它管控化学品管理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爆炸品单独隔离，限量存储，使用、销毁按照公安部门的要求执行</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8.6.1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bCs/>
                <w:color w:val="000000"/>
                <w:sz w:val="21"/>
                <w:szCs w:val="21"/>
              </w:rPr>
              <w:t>实验气体管理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从合格供应商处采购实验气体，建立气体钢瓶台帐</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8.6.3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实验气体管理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涉及剧毒、易燃易爆气体的场所，配有通风设施和合适的监控报警装置等，张贴必要的安全警示标识</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8.7.1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化学废弃物管理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与有资质的处置单位（企业）签约处置化学废弃物</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实验室资质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开展病原微生物实验研究的实验室，须具备相应的安全等级资质。其中BSL-3/ABSL-3、BSL-4/ABSL-4实验室须经政府部门批准建设；BSL-1/ ABSL-1、BSL-2/ ABSL-2 实验室由学校建设后报政府卫生或农业部门备案</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9.1.3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实验室资质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开展未经灭活的高致病性病原微生物（列入一类、二类）相关实验和研究，必须在BSL-3/ABSL-3、BSL-4/ABSL-4实验室中进行</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9.1.4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实验室资质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开展低致病性病原微生物（列入三类、四类），或经灭活的高致病性感染性材料的相关实验和研究，必须在BSL-1/ ABSL-1、BSL-2/ ABSL-2或以上等级实验室中进行</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9.3.1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病原微生物采购与保管</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采购高致病性病原微生物菌（毒）种，须按照学校流程审批，报行业主管部门批准</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9.7.5</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生物实验废物处置</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涉及病原微生物的实验废弃物必须进行高温高压灭菌或化学浸泡处理，并有处置的记录。高致病性生物材料废弃物处置实现溯源追踪</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实验室资质与人员要求</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涉源学校须取得“辐射安全许可证”，并按规定在放射性核素种类和用量以及射线种类许可范围内开展实验</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31</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1.1.4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学校与院系签订实验室安全管理责任书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32</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1.3</w:t>
            </w:r>
            <w:r>
              <w:rPr>
                <w:rFonts w:ascii="Times New Roman" w:hAnsi="Times New Roman" w:cs="Times New Roman"/>
                <w:color w:val="00B0F0"/>
                <w:sz w:val="21"/>
                <w:szCs w:val="21"/>
              </w:rPr>
              <w:t>.</w:t>
            </w:r>
            <w:r>
              <w:rPr>
                <w:rFonts w:ascii="Times New Roman" w:hAnsi="Times New Roman" w:cs="Times New Roman"/>
                <w:color w:val="000000"/>
                <w:sz w:val="21"/>
                <w:szCs w:val="21"/>
              </w:rPr>
              <w:t>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经费保障</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学校每年有实验室安全常规经费预算</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33</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1.4.2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管理部门建立了完整的实验室安全工作档案，包括责任体系、队伍建设、安全制度、奖惩、教育培训、安全检查、隐患整改、事故调查与处理、专业安全、其它相关的常规或阶段性工作归档资料等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34</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2.1.2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sz w:val="21"/>
                <w:szCs w:val="21"/>
              </w:rPr>
              <w:t>校级层面实验室安全管理制度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有实验室安全奖励与责任追究制度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35</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2.2.3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院系层面的安全管理制度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涉及安全隐患的设备（如大型仪器、高温、高速、高压、强磁、低温等设备）有安全操作规程，并明示</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36</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2.2.4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院系层面的安全管理制度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危险性实验、工艺有实验指导书或操作规程（含安全注意事项），并明示</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2.2.5</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院系层面的安全管理制度</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建立了危险性实验风险评估与准入机制</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38</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3.1.2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安全教育活动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每年开展全校教工和学生安全教育培训活动，有记录</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3.2.3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实验室安全考试系统</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每年组织新教工、本科生和研究生新生学习与考试，通过者发放合格证</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3.3.2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安全文化</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编印实验室安全手册并发放到每一位师生，承诺书归档</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4.3.1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隐患整改</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对于检查中发现的问题，有合适的方式通知被查实验室相关负责人及院系（如网上公示、整改通知书等），并规范存档</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4.3.2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隐患整改</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院系落实问题隐患的整改，整改报告在规定时间内提交学校管理部门，并归档</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4.4.1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安全报告</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学校有公示的安全检查通报（定期/不定期）</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超过200平方米的实验楼层应具有至少两处紧急出口，75平方米以上实验室要有两扇门</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5.1.2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每个房间门口挂有安全信息牌，信息包括安全责任人、涉及危险类别、防护措施和有效的应急联系电话等，并及时更新</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5.1.4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实验室消防通道通畅，公共场所、通道不堆放仪器、物品</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5.1.7</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所有房间均须有应急备用钥匙，集中存放、专人管理，应急时方便取用</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5.1.9</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实验室内不得随意搭建阁楼，操作区层高不低于2米</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5.3.1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卫生与日常管理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有毒有害实验区与学习区明确分开，布局合理；实验区不准饮食</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5.3.2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卫生与日常管理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实验室物品摆放有序，卫生状况良好；实验完毕物品归位</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5.4.2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场所其它安全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危险性实验室配备了急救药箱，药箱不上锁、药品在保质期内</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5.4.4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场所其它安全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实验室内不存放或烧煮食物、饮食，无吸烟现象</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color w:val="000000"/>
                <w:sz w:val="21"/>
                <w:szCs w:val="21"/>
              </w:rPr>
              <w:t>6.1.2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消防设施</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灭火器在有效期内（压力指针位置正常等），安全销（拉针）正常，瓶身无破损、腐蚀</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w:t>
            </w:r>
            <w:r>
              <w:rPr>
                <w:rFonts w:ascii="Times New Roman" w:hAnsi="Times New Roman" w:cs="Times New Roman"/>
                <w:color w:val="000000"/>
                <w:sz w:val="21"/>
                <w:szCs w:val="21"/>
              </w:rPr>
              <w:t>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color w:val="000000"/>
                <w:sz w:val="21"/>
                <w:szCs w:val="21"/>
              </w:rPr>
              <w:t>6.2.1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应急喷淋与洗眼装置</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存在可能受到化学和生物伤害的实验区域，需配置应急喷淋和洗眼装置，走廊有显著引导标识</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color w:val="000000"/>
                <w:sz w:val="21"/>
                <w:szCs w:val="21"/>
              </w:rPr>
              <w:t>6.3.1.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通风系统</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有需要的实验场所配备符合要求的通风系统，管道风机需防腐，使用可燃气体场所应采用防爆风机</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color w:val="000000"/>
                <w:sz w:val="21"/>
                <w:szCs w:val="21"/>
              </w:rPr>
              <w:t>6.3.3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通风系统</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根据需要在通风橱管路上安装有毒有害气体的吸附或处理装置（如活性炭、光催化分解、水喷淋等）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color w:val="000000"/>
                <w:sz w:val="21"/>
                <w:szCs w:val="21"/>
              </w:rPr>
              <w:t>6.5.1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实验室防爆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防爆实验室需符合防爆设计要求，安装防爆开关、防爆灯等，安装必要的气体报警系统、监控系统及断电断水应急系统等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58</w:t>
            </w:r>
          </w:p>
        </w:tc>
        <w:tc>
          <w:tcPr>
            <w:tcW w:w="672" w:type="dxa"/>
            <w:shd w:val="clear" w:color="auto" w:fill="auto"/>
            <w:tcMar>
              <w:left w:w="45" w:type="dxa"/>
              <w:right w:w="45" w:type="dxa"/>
            </w:tcMar>
            <w:vAlign w:val="center"/>
          </w:tcPr>
          <w:p>
            <w:pPr>
              <w:spacing w:line="320" w:lineRule="exact"/>
              <w:jc w:val="center"/>
              <w:rPr>
                <w:rFonts w:asciiTheme="minorEastAsia" w:hAnsiTheme="minorEastAsia"/>
                <w:sz w:val="21"/>
                <w:szCs w:val="21"/>
              </w:rPr>
            </w:pPr>
            <w:r>
              <w:rPr>
                <w:rFonts w:ascii="Times New Roman" w:hAnsi="Times New Roman" w:cs="Times New Roman"/>
                <w:color w:val="000000"/>
                <w:sz w:val="21"/>
                <w:szCs w:val="21"/>
              </w:rPr>
              <w:t>7.1.1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用电基础安全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实验室电容量、插头插座与用电设备功率需匹配，不得私自改装；电源插座须固定</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59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7.1.4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用电基础安全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禁止多个接线板串接供电，接线板不宜直接置于地面</w:t>
            </w:r>
          </w:p>
        </w:tc>
        <w:tc>
          <w:tcPr>
            <w:tcW w:w="620" w:type="dxa"/>
            <w:shd w:val="clear" w:color="auto" w:fill="auto"/>
            <w:tcMar>
              <w:left w:w="45" w:type="dxa"/>
              <w:right w:w="45" w:type="dxa"/>
            </w:tcMar>
            <w:vAlign w:val="center"/>
          </w:tcPr>
          <w:p>
            <w:pPr>
              <w:spacing w:line="3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7.1.11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用电基础安全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插座、插头、接线板为国家质量认证的合格产品，无烧焦变形、破损现象</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w:t>
            </w:r>
            <w:r>
              <w:rPr>
                <w:rFonts w:ascii="Times New Roman" w:hAnsi="Times New Roman" w:cs="Times New Roman"/>
                <w:color w:val="000000"/>
                <w:sz w:val="21"/>
                <w:szCs w:val="21"/>
              </w:rPr>
              <w:t>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7.2.2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用水安全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各类连接管无老化破损（特别是冷却冷凝系统的橡胶管接口处）</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7.3.2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按需要佩戴防护眼镜（如进行化学实验、有危险的机械操作等）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7.3.4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特殊场所按需佩戴安全帽、防护帽，长发不散露在外。操作机床等旋转设备时，不穿戴长围巾、丝巾、领带等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7.3.5</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按需要佩戴防护手套（涉及不同的有害化学物质、病原微生物、高温和低温等），并正确选择不同种类和材质的手套</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7.3.6</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在特殊的实验室配备和使用呼吸器或面罩（如有挥发性毒物、溅射危险等），并正确选择种类；呼吸器或面罩在有效期内，不用时须密封放置</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7.4.1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危险性实验（如高温、高压、高速运转等）时必须有两人在场</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7.4.2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实验时不能脱岗，通宵实验须两人在场并有事先审批制度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7.4.4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实验结束后物品归位，保持桌面整洁</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69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8.1.1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危险化学品采购、验收、发放</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一般危险化学品要向具有危化品生产经营许可资质的单位购买</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8.2.1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实验室化学试剂存放</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有实验室内化学品的动态使用台帐；建立本实验室危险化学品目录，并有危险化学品安全技术说明书（MSDS）或安全周知卡，方便查阅</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8.2.4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实验室化学试剂存放</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实验室内存放的危险化学品总量原则上不应超过100L或100kg，其中易燃易爆性化学品的存放总量不应超过50L 或50kg，且单一包装容器不应大于20L或20kg</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8.2.6</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实验室化学试剂存放</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化学品包装物上应有符合规定的化学品标签；当化学品由原包装物转移或分装到其他包装物内时，转移或分装后的包装物应及时重新粘贴标识。化学品标签脱落、模糊、腐蚀后应及时补上，如不能确认，则以废弃化学品处置</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8.3.2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实验操作安全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制定危险实验、危险化工工艺指导书，上墙或便于取阅；按照指导书进行实验</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8.3.3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实验操作安全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建立针对特殊危险实验的应急预案，方便取阅；实验人员熟悉所涉及的危险性及应急处理措施</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8.5.2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其它管控化学品管理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易制爆品分类存放、专人保管，做好领取、使用、处置记录</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8.5.4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其它管控化学品管理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麻醉品和精神类药品储存于专门的保险柜中，有规范的领取、使用、处置台账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8.6.7</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bCs/>
                <w:color w:val="000000"/>
                <w:sz w:val="21"/>
                <w:szCs w:val="21"/>
              </w:rPr>
              <w:t>实验气体管理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氧气等助燃气体不混放可燃性气体与</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8.6.8</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bCs/>
                <w:color w:val="000000"/>
                <w:sz w:val="21"/>
                <w:szCs w:val="21"/>
              </w:rPr>
              <w:t>实验气体管理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气体管路连接正确、有标识，管路材质选择合适，无破损或老化现象，定期进行气体泄漏检查；存在多条气体管路的房间须张贴详细的管路图</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79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8.6.10</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实验气体管理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无大量气体钢瓶堆放现象；每间实验室内存放的氧气和可燃气体不宜超过一瓶，其他气瓶的存放，应控制在最小需求量；气体钢瓶不得放在走廊、大厅等公共场所</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8.7.2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Cs/>
                <w:color w:val="000000"/>
                <w:sz w:val="21"/>
                <w:szCs w:val="21"/>
              </w:rPr>
            </w:pPr>
            <w:r>
              <w:rPr>
                <w:rFonts w:hint="eastAsia" w:ascii="宋体" w:hAnsi="宋体" w:eastAsia="宋体" w:cs="宋体"/>
                <w:color w:val="000000"/>
                <w:sz w:val="21"/>
                <w:szCs w:val="21"/>
              </w:rPr>
              <w:t>化学废弃物管理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学校有统一的化学实验废弃物标签，包含废物类别、危险特性、主要成分、产生部门、送储人、日期等信息</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8.8.1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Cs/>
                <w:color w:val="000000"/>
                <w:sz w:val="21"/>
                <w:szCs w:val="21"/>
              </w:rPr>
            </w:pPr>
            <w:r>
              <w:rPr>
                <w:rFonts w:hint="eastAsia" w:ascii="宋体" w:hAnsi="宋体" w:eastAsia="宋体" w:cs="宋体"/>
                <w:color w:val="000000"/>
                <w:sz w:val="21"/>
                <w:szCs w:val="21"/>
              </w:rPr>
              <w:t>危化品仓库与废弃物中转站</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学校有危险品仓库、化学实验废弃物中转站，须有通风、隔热、避光、防盗、防爆、防静电、泄露报警、应急喷淋、安全警示标识等管控措施，符合相关规定，专人管理</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8.9.1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其它化学安全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学校有统一的试剂标签（用于配置试剂、合成品、样品等），信息包括名称、浓度、责任人、日期、储存条件等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8.9.4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其它化学安全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无使用饮料瓶存放试剂、样品的现象。如确需存放，必须撕去原包装纸，贴上统一的试剂标签</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8.9.6</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其它化学安全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用于浸泡玻璃器皿的酸缸、碱缸等有盖子盖上、标签明确</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9.2.3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场所与设施</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储存病原微生物的场所或储柜配备防盗设施，并安装监控报警装置</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9.3.3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sz w:val="21"/>
                <w:szCs w:val="21"/>
              </w:rPr>
              <w:t>病原微生物采购与保管</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高致病性病原微生物的转移和运输需按规定报卫生和农业主管部门批准，并按相应的运输包装要求包装后转移和运输</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9.3.4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sz w:val="21"/>
                <w:szCs w:val="21"/>
              </w:rPr>
              <w:t>病原微生物采购与保管</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病原微生物菌（毒）种保存在带锁冰箱或柜子中，高致病性病原微生物实行双人双锁管理</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9.3.5</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sz w:val="21"/>
                <w:szCs w:val="21"/>
              </w:rPr>
              <w:t>病原微生物采购与保管</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有病原微生物菌（毒）种保存、实验使用、销毁的记录</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9.4.1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人员管理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开展病原微生物相关实验和研究的人员经过专业培训，考核合格，并取得证书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9.5.2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操作管理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BSL-2 /ABSL-2及以上等级实验室，开展病原微生物的相关实验活动应有风险评估和应急预案，包括病原微生物及感染材料溢出和意外事故的书面操作程序</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9.6.1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实验动物安全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饲养实验动物的场所应有资质证书</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9.6.2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实验动物安全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实验动物需从具有资质的单位购买，有合格证明</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9.7.1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生物实验废物处置</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学校与有资质的单位签约处置生化废弃物，有交接记录</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9.7.4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生物实验废物处置</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配备了生化实验废弃物垃圾桶（一般内置黄色塑料袋），有标签；刀片、移液枪头等尖锐物应使用耐扎的利器盒/纸板箱盛放，送储时再装入黄色塑料袋，贴好标签。</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10.1.5</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实验室资质与人员要求</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涉源人员进入实验场所须佩带个人剂量计；委托有资质单位按时进行剂量检测（3个月一次），有合格的个人剂量检测报告。剂量计平时不能放在实验室场所</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10.2.4</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场所与设施</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涉源实验场所每年有合格的实验场所检测报告</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10.5.1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放射性实验废弃物的处置</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报废含有放射源或可产生放射性的设备，需报学校管理部门同意，并按国家规定进行退役处置；X光管报废时应敲碎，拍照留存</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11.1.8</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仪器设备常规管理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对于高温、高压、高速运动、电磁辐射等特殊设备，对使用者有培训要求，有安全警示标识和安全警示线（黄色），并配备相应安全防护设施</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99</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11.2.1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机械安全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高速切削机械操作，工作前穿好工作服，戴好防护眼镜，衣袖口应扣紧，长发学生戴好工作帽。工作场所禁戴手套、长围巾、领带、手镯等配饰物，禁穿拖鞋、高跟鞋等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100</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11.3.6</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电气安全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101</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18"/>
                <w:szCs w:val="18"/>
              </w:rPr>
              <w:t>11.3.10</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电气安全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断电操作时，在电源箱处有明显警示标识，以防他人随意合闸</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102</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11.5.2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粉尘安全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大量粉状物质的储存与使用场所，选用防爆型的电气设备、防爆灯、防爆电气开关，导线敷设应选用镀锌管气或水煤管，必须达到整体防爆要求。</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103</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12.1.2</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起重类设备</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操作人员须取得《特种设备作业人员证》，持证上岗，并每4年复审一次</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104</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12.2.1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压力容器</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压力大于0.1MPa且容积大于30L的压力容器，须取得《特种设备使用登记证》和《压力容器登记卡》</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105</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12.4.1</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冰箱管理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贮存危险化学品的冰箱为防爆冰箱或经过防爆改造的冰箱，禁止使用无霜型冰箱储存易燃易爆试剂</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106</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12.5.3</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烘箱与电阻炉管理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不使用有故障、破损的烘箱、电阻炉；烘箱放置位置、高度合适，方便操作</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107</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12.5.6</w:t>
            </w:r>
          </w:p>
        </w:tc>
        <w:tc>
          <w:tcPr>
            <w:tcW w:w="2233"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烘箱与电阻炉管理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使用烘箱、电阻炉等加热设备时有人值守（或10-15分钟检查一次），或有实时监控设施；使用中的烘箱、电阻炉要标识使用人姓名</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108</w:t>
            </w:r>
          </w:p>
        </w:tc>
        <w:tc>
          <w:tcPr>
            <w:tcW w:w="67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12.6.3</w:t>
            </w:r>
          </w:p>
        </w:tc>
        <w:tc>
          <w:tcPr>
            <w:tcW w:w="2233"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明火电炉与电吹风等管理</w:t>
            </w:r>
          </w:p>
        </w:tc>
        <w:tc>
          <w:tcPr>
            <w:tcW w:w="5617" w:type="dxa"/>
            <w:shd w:val="clear" w:color="auto" w:fill="auto"/>
            <w:tcMar>
              <w:left w:w="45" w:type="dxa"/>
              <w:right w:w="45" w:type="dxa"/>
            </w:tcMar>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不使用明火电炉加热易燃易爆试剂</w:t>
            </w:r>
          </w:p>
        </w:tc>
        <w:tc>
          <w:tcPr>
            <w:tcW w:w="620"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bl>
    <w:p>
      <w:pPr>
        <w:spacing w:before="156" w:beforeLines="50" w:line="500" w:lineRule="exact"/>
        <w:rPr>
          <w:rFonts w:ascii="Times New Roman" w:hAnsi="Times New Roman" w:cs="Times New Roman"/>
          <w:color w:val="000000"/>
          <w:sz w:val="24"/>
          <w:szCs w:val="24"/>
        </w:rPr>
      </w:pPr>
    </w:p>
    <w:p>
      <w:pPr>
        <w:spacing w:before="156" w:beforeLines="50" w:line="500" w:lineRule="exact"/>
        <w:rPr>
          <w:rFonts w:ascii="Times New Roman" w:hAnsi="Times New Roman" w:cs="Times New Roman"/>
          <w:color w:val="000000"/>
          <w:sz w:val="24"/>
          <w:szCs w:val="24"/>
        </w:rPr>
      </w:pPr>
    </w:p>
    <w:p>
      <w:pPr>
        <w:spacing w:before="156" w:beforeLines="50" w:line="500" w:lineRule="exact"/>
        <w:rPr>
          <w:rFonts w:ascii="Times New Roman" w:hAnsi="Times New Roman" w:cs="Times New Roman"/>
          <w:color w:val="000000"/>
          <w:sz w:val="24"/>
          <w:szCs w:val="24"/>
        </w:rPr>
      </w:pPr>
    </w:p>
    <w:p>
      <w:pPr>
        <w:spacing w:before="156" w:beforeLines="50" w:line="500" w:lineRule="exact"/>
        <w:jc w:val="left"/>
        <w:rPr>
          <w:rFonts w:hint="eastAsia" w:ascii="仿宋" w:hAnsi="仿宋" w:eastAsia="仿宋"/>
          <w:b/>
          <w:sz w:val="28"/>
          <w:szCs w:val="24"/>
        </w:rPr>
      </w:pPr>
      <w:r>
        <w:rPr>
          <w:rFonts w:hint="eastAsia" w:ascii="仿宋" w:hAnsi="仿宋" w:eastAsia="仿宋"/>
          <w:b/>
          <w:sz w:val="28"/>
          <w:szCs w:val="24"/>
        </w:rPr>
        <w:t>表</w:t>
      </w:r>
      <w:r>
        <w:rPr>
          <w:rFonts w:hint="eastAsia" w:ascii="仿宋" w:hAnsi="仿宋" w:eastAsia="仿宋"/>
          <w:b/>
          <w:sz w:val="28"/>
          <w:szCs w:val="24"/>
          <w:lang w:val="en-US" w:eastAsia="zh-CN"/>
        </w:rPr>
        <w:t>2</w:t>
      </w:r>
      <w:r>
        <w:rPr>
          <w:rFonts w:hint="eastAsia" w:ascii="仿宋" w:hAnsi="仿宋" w:eastAsia="仿宋"/>
          <w:b/>
          <w:sz w:val="28"/>
          <w:szCs w:val="24"/>
        </w:rPr>
        <w:t xml:space="preserve">. </w:t>
      </w:r>
    </w:p>
    <w:p>
      <w:pPr>
        <w:spacing w:before="156" w:beforeLines="50" w:line="500" w:lineRule="exact"/>
        <w:jc w:val="center"/>
        <w:rPr>
          <w:rFonts w:ascii="仿宋" w:hAnsi="仿宋" w:eastAsia="仿宋"/>
          <w:b/>
          <w:sz w:val="28"/>
          <w:szCs w:val="24"/>
        </w:rPr>
      </w:pPr>
      <w:r>
        <w:rPr>
          <w:rFonts w:hint="eastAsia" w:ascii="仿宋" w:hAnsi="仿宋" w:eastAsia="仿宋"/>
          <w:b/>
          <w:sz w:val="28"/>
          <w:szCs w:val="24"/>
        </w:rPr>
        <w:t>发现安全</w:t>
      </w:r>
      <w:r>
        <w:rPr>
          <w:rFonts w:ascii="仿宋" w:hAnsi="仿宋" w:eastAsia="仿宋"/>
          <w:b/>
          <w:sz w:val="28"/>
          <w:szCs w:val="24"/>
        </w:rPr>
        <w:t>隐患指标</w:t>
      </w:r>
      <w:r>
        <w:rPr>
          <w:rFonts w:hint="eastAsia" w:ascii="仿宋" w:hAnsi="仿宋" w:eastAsia="仿宋"/>
          <w:b/>
          <w:sz w:val="28"/>
          <w:szCs w:val="24"/>
        </w:rPr>
        <w:t>条款与</w:t>
      </w:r>
      <w:r>
        <w:rPr>
          <w:rFonts w:ascii="仿宋" w:hAnsi="仿宋" w:eastAsia="仿宋"/>
          <w:b/>
          <w:sz w:val="28"/>
          <w:szCs w:val="24"/>
        </w:rPr>
        <w:t>检查结</w:t>
      </w:r>
      <w:r>
        <w:rPr>
          <w:rFonts w:hint="eastAsia" w:ascii="仿宋" w:hAnsi="仿宋" w:eastAsia="仿宋"/>
          <w:b/>
          <w:sz w:val="28"/>
          <w:szCs w:val="24"/>
        </w:rPr>
        <w:t>果</w:t>
      </w:r>
      <w:r>
        <w:rPr>
          <w:rFonts w:ascii="仿宋" w:hAnsi="仿宋" w:eastAsia="仿宋"/>
          <w:b/>
          <w:sz w:val="28"/>
          <w:szCs w:val="24"/>
        </w:rPr>
        <w:t>的关系</w:t>
      </w:r>
    </w:p>
    <w:tbl>
      <w:tblPr>
        <w:tblStyle w:val="26"/>
        <w:tblW w:w="8634" w:type="dxa"/>
        <w:jc w:val="center"/>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626"/>
        <w:gridCol w:w="1631"/>
        <w:gridCol w:w="1695"/>
        <w:gridCol w:w="137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90" w:type="dxa"/>
            <w:vAlign w:val="center"/>
          </w:tcPr>
          <w:p>
            <w:pPr>
              <w:jc w:val="center"/>
              <w:rPr>
                <w:rFonts w:asciiTheme="minorEastAsia" w:hAnsiTheme="minorEastAsia"/>
                <w:b/>
                <w:sz w:val="24"/>
              </w:rPr>
            </w:pPr>
            <w:r>
              <w:rPr>
                <w:rFonts w:hint="eastAsia" w:asciiTheme="minorEastAsia" w:hAnsiTheme="minorEastAsia"/>
                <w:b/>
                <w:sz w:val="24"/>
              </w:rPr>
              <w:t>序号</w:t>
            </w:r>
          </w:p>
        </w:tc>
        <w:tc>
          <w:tcPr>
            <w:tcW w:w="1626" w:type="dxa"/>
            <w:vAlign w:val="center"/>
          </w:tcPr>
          <w:p>
            <w:pPr>
              <w:jc w:val="center"/>
              <w:rPr>
                <w:rFonts w:asciiTheme="minorEastAsia" w:hAnsiTheme="minorEastAsia"/>
                <w:b/>
                <w:sz w:val="24"/>
              </w:rPr>
            </w:pPr>
            <w:r>
              <w:rPr>
                <w:rFonts w:asciiTheme="minorEastAsia" w:hAnsiTheme="minorEastAsia"/>
                <w:b/>
                <w:sz w:val="24"/>
              </w:rPr>
              <w:t>条款</w:t>
            </w:r>
            <w:r>
              <w:rPr>
                <w:rFonts w:hint="eastAsia" w:asciiTheme="minorEastAsia" w:hAnsiTheme="minorEastAsia"/>
                <w:b/>
                <w:sz w:val="24"/>
              </w:rPr>
              <w:t>类别</w:t>
            </w:r>
          </w:p>
        </w:tc>
        <w:tc>
          <w:tcPr>
            <w:tcW w:w="6118" w:type="dxa"/>
            <w:gridSpan w:val="4"/>
            <w:vAlign w:val="center"/>
          </w:tcPr>
          <w:p>
            <w:pPr>
              <w:jc w:val="center"/>
              <w:rPr>
                <w:rFonts w:asciiTheme="minorEastAsia" w:hAnsiTheme="minorEastAsia"/>
                <w:b/>
                <w:sz w:val="24"/>
              </w:rPr>
            </w:pPr>
            <w:r>
              <w:rPr>
                <w:rFonts w:hint="eastAsia" w:asciiTheme="minorEastAsia" w:hAnsiTheme="minorEastAsia"/>
                <w:b/>
                <w:sz w:val="24"/>
              </w:rPr>
              <w:t>不符合</w:t>
            </w:r>
            <w:r>
              <w:rPr>
                <w:rFonts w:asciiTheme="minorEastAsia" w:hAnsiTheme="minorEastAsia"/>
                <w:b/>
                <w:sz w:val="24"/>
              </w:rPr>
              <w:t>条款数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90" w:type="dxa"/>
            <w:vAlign w:val="center"/>
          </w:tcPr>
          <w:p>
            <w:pPr>
              <w:jc w:val="center"/>
              <w:rPr>
                <w:rFonts w:asciiTheme="minorEastAsia" w:hAnsiTheme="minorEastAsia"/>
                <w:sz w:val="24"/>
              </w:rPr>
            </w:pPr>
            <w:r>
              <w:rPr>
                <w:rFonts w:hint="eastAsia" w:asciiTheme="minorEastAsia" w:hAnsiTheme="minorEastAsia"/>
                <w:sz w:val="24"/>
              </w:rPr>
              <w:t>1</w:t>
            </w:r>
          </w:p>
        </w:tc>
        <w:tc>
          <w:tcPr>
            <w:tcW w:w="1626" w:type="dxa"/>
            <w:vAlign w:val="center"/>
          </w:tcPr>
          <w:p>
            <w:pPr>
              <w:jc w:val="center"/>
              <w:rPr>
                <w:rFonts w:asciiTheme="minorEastAsia" w:hAnsiTheme="minorEastAsia"/>
                <w:sz w:val="24"/>
              </w:rPr>
            </w:pPr>
            <w:r>
              <w:rPr>
                <w:rFonts w:hint="eastAsia" w:asciiTheme="minorEastAsia" w:hAnsiTheme="minorEastAsia"/>
                <w:sz w:val="24"/>
              </w:rPr>
              <w:t>三星***</w:t>
            </w:r>
          </w:p>
        </w:tc>
        <w:tc>
          <w:tcPr>
            <w:tcW w:w="1631" w:type="dxa"/>
            <w:vAlign w:val="center"/>
          </w:tcPr>
          <w:p>
            <w:pPr>
              <w:jc w:val="center"/>
              <w:rPr>
                <w:rFonts w:asciiTheme="minorEastAsia" w:hAnsiTheme="minorEastAsia"/>
                <w:sz w:val="24"/>
              </w:rPr>
            </w:pPr>
            <w:r>
              <w:rPr>
                <w:rFonts w:hint="eastAsia" w:asciiTheme="minorEastAsia" w:hAnsiTheme="minorEastAsia"/>
                <w:sz w:val="24"/>
              </w:rPr>
              <w:t>0</w:t>
            </w:r>
          </w:p>
        </w:tc>
        <w:tc>
          <w:tcPr>
            <w:tcW w:w="1695" w:type="dxa"/>
            <w:vAlign w:val="center"/>
          </w:tcPr>
          <w:p>
            <w:pPr>
              <w:jc w:val="center"/>
              <w:rPr>
                <w:rFonts w:asciiTheme="minorEastAsia" w:hAnsiTheme="minorEastAsia"/>
                <w:sz w:val="24"/>
              </w:rPr>
            </w:pPr>
            <w:r>
              <w:rPr>
                <w:rFonts w:hint="eastAsia" w:asciiTheme="minorEastAsia" w:hAnsiTheme="minorEastAsia"/>
                <w:sz w:val="24"/>
              </w:rPr>
              <w:t>0</w:t>
            </w:r>
          </w:p>
        </w:tc>
        <w:tc>
          <w:tcPr>
            <w:tcW w:w="1375" w:type="dxa"/>
            <w:vAlign w:val="center"/>
          </w:tcPr>
          <w:p>
            <w:pPr>
              <w:jc w:val="center"/>
              <w:rPr>
                <w:rFonts w:asciiTheme="minorEastAsia" w:hAnsiTheme="minorEastAsia"/>
                <w:sz w:val="24"/>
              </w:rPr>
            </w:pPr>
            <w:r>
              <w:rPr>
                <w:rFonts w:hint="eastAsia" w:asciiTheme="minorEastAsia" w:hAnsiTheme="minorEastAsia"/>
                <w:sz w:val="24"/>
              </w:rPr>
              <w:t>0</w:t>
            </w:r>
          </w:p>
        </w:tc>
        <w:tc>
          <w:tcPr>
            <w:tcW w:w="1417" w:type="dxa"/>
            <w:vAlign w:val="center"/>
          </w:tcPr>
          <w:p>
            <w:pPr>
              <w:jc w:val="center"/>
              <w:rPr>
                <w:rFonts w:asciiTheme="minorEastAsia" w:hAnsiTheme="minorEastAsia"/>
                <w:sz w:val="24"/>
              </w:rPr>
            </w:pPr>
            <w:r>
              <w:rPr>
                <w:rFonts w:hint="eastAsia" w:asciiTheme="minorEastAsia" w:hAnsi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90" w:type="dxa"/>
            <w:vAlign w:val="center"/>
          </w:tcPr>
          <w:p>
            <w:pPr>
              <w:jc w:val="center"/>
              <w:rPr>
                <w:rFonts w:asciiTheme="minorEastAsia" w:hAnsiTheme="minorEastAsia"/>
                <w:sz w:val="24"/>
              </w:rPr>
            </w:pPr>
            <w:r>
              <w:rPr>
                <w:rFonts w:hint="eastAsia" w:asciiTheme="minorEastAsia" w:hAnsiTheme="minorEastAsia"/>
                <w:sz w:val="24"/>
              </w:rPr>
              <w:t>2</w:t>
            </w:r>
          </w:p>
        </w:tc>
        <w:tc>
          <w:tcPr>
            <w:tcW w:w="1626" w:type="dxa"/>
            <w:vAlign w:val="center"/>
          </w:tcPr>
          <w:p>
            <w:pPr>
              <w:jc w:val="center"/>
              <w:rPr>
                <w:rFonts w:asciiTheme="minorEastAsia" w:hAnsiTheme="minorEastAsia"/>
                <w:sz w:val="24"/>
              </w:rPr>
            </w:pPr>
            <w:r>
              <w:rPr>
                <w:rFonts w:hint="eastAsia" w:asciiTheme="minorEastAsia" w:hAnsiTheme="minorEastAsia"/>
                <w:sz w:val="24"/>
              </w:rPr>
              <w:t>二星**</w:t>
            </w:r>
          </w:p>
        </w:tc>
        <w:tc>
          <w:tcPr>
            <w:tcW w:w="1631" w:type="dxa"/>
            <w:vAlign w:val="center"/>
          </w:tcPr>
          <w:p>
            <w:pPr>
              <w:jc w:val="center"/>
              <w:rPr>
                <w:rFonts w:asciiTheme="minorEastAsia" w:hAnsiTheme="minorEastAsia"/>
                <w:sz w:val="24"/>
              </w:rPr>
            </w:pPr>
            <w:r>
              <w:rPr>
                <w:rFonts w:hint="eastAsia" w:asciiTheme="minorEastAsia" w:hAnsiTheme="minorEastAsia"/>
                <w:sz w:val="24"/>
              </w:rPr>
              <w:t>0</w:t>
            </w:r>
          </w:p>
        </w:tc>
        <w:tc>
          <w:tcPr>
            <w:tcW w:w="1695" w:type="dxa"/>
            <w:vAlign w:val="center"/>
          </w:tcPr>
          <w:p>
            <w:pPr>
              <w:jc w:val="center"/>
              <w:rPr>
                <w:rFonts w:asciiTheme="minorEastAsia" w:hAnsiTheme="minorEastAsia"/>
                <w:sz w:val="24"/>
              </w:rPr>
            </w:pPr>
            <w:r>
              <w:rPr>
                <w:rFonts w:asciiTheme="minorEastAsia" w:hAnsiTheme="minorEastAsia"/>
                <w:sz w:val="24"/>
              </w:rPr>
              <w:t>1-</w:t>
            </w:r>
            <w:r>
              <w:rPr>
                <w:rFonts w:hint="eastAsia" w:asciiTheme="minorEastAsia" w:hAnsiTheme="minorEastAsia"/>
                <w:sz w:val="24"/>
              </w:rPr>
              <w:t>7</w:t>
            </w:r>
          </w:p>
        </w:tc>
        <w:tc>
          <w:tcPr>
            <w:tcW w:w="1375" w:type="dxa"/>
            <w:vAlign w:val="center"/>
          </w:tcPr>
          <w:p>
            <w:pPr>
              <w:jc w:val="center"/>
              <w:rPr>
                <w:rFonts w:asciiTheme="minorEastAsia" w:hAnsiTheme="minorEastAsia"/>
                <w:sz w:val="24"/>
              </w:rPr>
            </w:pPr>
            <w:r>
              <w:rPr>
                <w:rFonts w:hint="eastAsia" w:asciiTheme="minorEastAsia" w:hAnsiTheme="minorEastAsia"/>
                <w:sz w:val="24"/>
              </w:rPr>
              <w:t>8</w:t>
            </w:r>
            <w:r>
              <w:rPr>
                <w:rFonts w:asciiTheme="minorEastAsia" w:hAnsiTheme="minorEastAsia"/>
                <w:sz w:val="24"/>
              </w:rPr>
              <w:t>-</w:t>
            </w:r>
            <w:r>
              <w:rPr>
                <w:rFonts w:hint="eastAsia" w:asciiTheme="minorEastAsia" w:hAnsiTheme="minorEastAsia"/>
                <w:sz w:val="24"/>
              </w:rPr>
              <w:t>14</w:t>
            </w:r>
          </w:p>
        </w:tc>
        <w:tc>
          <w:tcPr>
            <w:tcW w:w="1417" w:type="dxa"/>
            <w:vAlign w:val="center"/>
          </w:tcPr>
          <w:p>
            <w:pPr>
              <w:jc w:val="center"/>
              <w:rPr>
                <w:rFonts w:asciiTheme="minorEastAsia" w:hAnsiTheme="minorEastAsia"/>
                <w:sz w:val="24"/>
              </w:rPr>
            </w:pPr>
            <w:r>
              <w:rPr>
                <w:rFonts w:hint="eastAsia" w:asciiTheme="minorEastAsia" w:hAnsiTheme="minor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90" w:type="dxa"/>
            <w:vAlign w:val="center"/>
          </w:tcPr>
          <w:p>
            <w:pPr>
              <w:jc w:val="center"/>
              <w:rPr>
                <w:rFonts w:asciiTheme="minorEastAsia" w:hAnsiTheme="minorEastAsia"/>
                <w:sz w:val="24"/>
              </w:rPr>
            </w:pPr>
            <w:r>
              <w:rPr>
                <w:rFonts w:hint="eastAsia" w:asciiTheme="minorEastAsia" w:hAnsiTheme="minorEastAsia"/>
                <w:sz w:val="24"/>
              </w:rPr>
              <w:t>3</w:t>
            </w:r>
          </w:p>
        </w:tc>
        <w:tc>
          <w:tcPr>
            <w:tcW w:w="1626" w:type="dxa"/>
            <w:vAlign w:val="center"/>
          </w:tcPr>
          <w:p>
            <w:pPr>
              <w:jc w:val="center"/>
              <w:rPr>
                <w:rFonts w:asciiTheme="minorEastAsia" w:hAnsiTheme="minorEastAsia"/>
                <w:sz w:val="24"/>
              </w:rPr>
            </w:pPr>
            <w:r>
              <w:rPr>
                <w:rFonts w:hint="eastAsia" w:asciiTheme="minorEastAsia" w:hAnsiTheme="minorEastAsia"/>
                <w:sz w:val="24"/>
              </w:rPr>
              <w:t>一星*</w:t>
            </w:r>
          </w:p>
        </w:tc>
        <w:tc>
          <w:tcPr>
            <w:tcW w:w="1631" w:type="dxa"/>
            <w:vAlign w:val="center"/>
          </w:tcPr>
          <w:p>
            <w:pPr>
              <w:jc w:val="center"/>
              <w:rPr>
                <w:rFonts w:asciiTheme="minorEastAsia" w:hAnsiTheme="minorEastAsia"/>
                <w:sz w:val="24"/>
              </w:rPr>
            </w:pPr>
            <w:r>
              <w:rPr>
                <w:rFonts w:hint="eastAsia" w:asciiTheme="minorEastAsia" w:hAnsiTheme="minorEastAsia"/>
                <w:sz w:val="24"/>
              </w:rPr>
              <w:t>2</w:t>
            </w:r>
          </w:p>
        </w:tc>
        <w:tc>
          <w:tcPr>
            <w:tcW w:w="1695" w:type="dxa"/>
            <w:vAlign w:val="center"/>
          </w:tcPr>
          <w:p>
            <w:pPr>
              <w:jc w:val="center"/>
              <w:rPr>
                <w:rFonts w:asciiTheme="minorEastAsia" w:hAnsiTheme="minorEastAsia"/>
                <w:sz w:val="24"/>
              </w:rPr>
            </w:pPr>
            <w:r>
              <w:rPr>
                <w:rFonts w:hint="eastAsia" w:asciiTheme="minorEastAsia" w:hAnsiTheme="minorEastAsia"/>
                <w:sz w:val="24"/>
              </w:rPr>
              <w:t>3</w:t>
            </w:r>
            <w:r>
              <w:rPr>
                <w:rFonts w:asciiTheme="minorEastAsia" w:hAnsiTheme="minorEastAsia"/>
                <w:sz w:val="24"/>
              </w:rPr>
              <w:t>-15</w:t>
            </w:r>
          </w:p>
        </w:tc>
        <w:tc>
          <w:tcPr>
            <w:tcW w:w="1375" w:type="dxa"/>
            <w:vAlign w:val="center"/>
          </w:tcPr>
          <w:p>
            <w:pPr>
              <w:jc w:val="center"/>
              <w:rPr>
                <w:rFonts w:asciiTheme="minorEastAsia" w:hAnsiTheme="minorEastAsia"/>
                <w:sz w:val="24"/>
              </w:rPr>
            </w:pPr>
            <w:r>
              <w:rPr>
                <w:rFonts w:asciiTheme="minorEastAsia" w:hAnsiTheme="minorEastAsia"/>
                <w:sz w:val="24"/>
              </w:rPr>
              <w:t>16-25</w:t>
            </w:r>
          </w:p>
        </w:tc>
        <w:tc>
          <w:tcPr>
            <w:tcW w:w="1417" w:type="dxa"/>
            <w:vAlign w:val="center"/>
          </w:tcPr>
          <w:p>
            <w:pPr>
              <w:jc w:val="center"/>
              <w:rPr>
                <w:rFonts w:asciiTheme="minorEastAsia" w:hAnsiTheme="minorEastAsia"/>
                <w:sz w:val="24"/>
              </w:rPr>
            </w:pPr>
            <w:r>
              <w:rPr>
                <w:rFonts w:hint="eastAsia" w:asciiTheme="minorEastAsia" w:hAnsiTheme="minorEastAsia"/>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90" w:type="dxa"/>
            <w:vAlign w:val="center"/>
          </w:tcPr>
          <w:p>
            <w:pPr>
              <w:jc w:val="center"/>
              <w:rPr>
                <w:rFonts w:asciiTheme="minorEastAsia" w:hAnsiTheme="minorEastAsia"/>
                <w:sz w:val="24"/>
              </w:rPr>
            </w:pPr>
            <w:r>
              <w:rPr>
                <w:rFonts w:hint="eastAsia" w:asciiTheme="minorEastAsia" w:hAnsiTheme="minorEastAsia"/>
                <w:sz w:val="24"/>
              </w:rPr>
              <w:t>4</w:t>
            </w:r>
          </w:p>
        </w:tc>
        <w:tc>
          <w:tcPr>
            <w:tcW w:w="1626" w:type="dxa"/>
            <w:vAlign w:val="center"/>
          </w:tcPr>
          <w:p>
            <w:pPr>
              <w:jc w:val="center"/>
              <w:rPr>
                <w:rFonts w:asciiTheme="minorEastAsia" w:hAnsiTheme="minorEastAsia"/>
                <w:sz w:val="24"/>
              </w:rPr>
            </w:pPr>
            <w:r>
              <w:rPr>
                <w:rFonts w:hint="eastAsia" w:asciiTheme="minorEastAsia" w:hAnsiTheme="minorEastAsia"/>
                <w:sz w:val="24"/>
              </w:rPr>
              <w:t>所有条款数</w:t>
            </w:r>
          </w:p>
        </w:tc>
        <w:tc>
          <w:tcPr>
            <w:tcW w:w="1631" w:type="dxa"/>
            <w:vAlign w:val="center"/>
          </w:tcPr>
          <w:p>
            <w:pPr>
              <w:jc w:val="center"/>
              <w:rPr>
                <w:rFonts w:asciiTheme="minorEastAsia" w:hAnsiTheme="minorEastAsia"/>
                <w:sz w:val="24"/>
              </w:rPr>
            </w:pPr>
            <w:r>
              <w:rPr>
                <w:rFonts w:hint="eastAsia" w:asciiTheme="minorEastAsia" w:hAnsiTheme="minorEastAsia"/>
                <w:sz w:val="24"/>
              </w:rPr>
              <w:t>8</w:t>
            </w:r>
          </w:p>
        </w:tc>
        <w:tc>
          <w:tcPr>
            <w:tcW w:w="1695" w:type="dxa"/>
            <w:vAlign w:val="center"/>
          </w:tcPr>
          <w:p>
            <w:pPr>
              <w:jc w:val="center"/>
              <w:rPr>
                <w:rFonts w:asciiTheme="minorEastAsia" w:hAnsiTheme="minorEastAsia"/>
                <w:sz w:val="24"/>
              </w:rPr>
            </w:pPr>
            <w:r>
              <w:rPr>
                <w:rFonts w:hint="eastAsia" w:asciiTheme="minorEastAsia" w:hAnsiTheme="minorEastAsia"/>
                <w:sz w:val="24"/>
              </w:rPr>
              <w:t>9-</w:t>
            </w:r>
            <w:r>
              <w:rPr>
                <w:rFonts w:asciiTheme="minorEastAsia" w:hAnsiTheme="minorEastAsia"/>
                <w:sz w:val="24"/>
              </w:rPr>
              <w:t>30</w:t>
            </w:r>
          </w:p>
        </w:tc>
        <w:tc>
          <w:tcPr>
            <w:tcW w:w="1375" w:type="dxa"/>
            <w:vAlign w:val="center"/>
          </w:tcPr>
          <w:p>
            <w:pPr>
              <w:jc w:val="center"/>
              <w:rPr>
                <w:rFonts w:asciiTheme="minorEastAsia" w:hAnsiTheme="minorEastAsia"/>
                <w:sz w:val="24"/>
              </w:rPr>
            </w:pPr>
            <w:r>
              <w:rPr>
                <w:rFonts w:asciiTheme="minorEastAsia" w:hAnsiTheme="minorEastAsia"/>
                <w:sz w:val="24"/>
              </w:rPr>
              <w:t>31</w:t>
            </w:r>
            <w:r>
              <w:rPr>
                <w:rFonts w:hint="eastAsia" w:asciiTheme="minorEastAsia" w:hAnsiTheme="minorEastAsia"/>
                <w:sz w:val="24"/>
              </w:rPr>
              <w:t>-40</w:t>
            </w:r>
          </w:p>
        </w:tc>
        <w:tc>
          <w:tcPr>
            <w:tcW w:w="1417" w:type="dxa"/>
            <w:vAlign w:val="center"/>
          </w:tcPr>
          <w:p>
            <w:pPr>
              <w:jc w:val="center"/>
              <w:rPr>
                <w:rFonts w:asciiTheme="minorEastAsia" w:hAnsiTheme="minorEastAsia"/>
                <w:sz w:val="24"/>
              </w:rPr>
            </w:pPr>
            <w:r>
              <w:rPr>
                <w:rFonts w:hint="eastAsia" w:asciiTheme="minorEastAsia" w:hAnsiTheme="minorEastAsia"/>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90" w:type="dxa"/>
            <w:vAlign w:val="center"/>
          </w:tcPr>
          <w:p>
            <w:pPr>
              <w:jc w:val="center"/>
              <w:rPr>
                <w:rFonts w:asciiTheme="minorEastAsia" w:hAnsiTheme="minorEastAsia"/>
                <w:b/>
                <w:sz w:val="24"/>
              </w:rPr>
            </w:pPr>
          </w:p>
        </w:tc>
        <w:tc>
          <w:tcPr>
            <w:tcW w:w="1626" w:type="dxa"/>
            <w:vAlign w:val="center"/>
          </w:tcPr>
          <w:p>
            <w:pPr>
              <w:jc w:val="center"/>
              <w:rPr>
                <w:rFonts w:asciiTheme="minorEastAsia" w:hAnsiTheme="minorEastAsia"/>
                <w:sz w:val="24"/>
              </w:rPr>
            </w:pPr>
            <w:r>
              <w:rPr>
                <w:rFonts w:hint="eastAsia" w:asciiTheme="minorEastAsia" w:hAnsiTheme="minorEastAsia"/>
                <w:b/>
                <w:sz w:val="24"/>
              </w:rPr>
              <w:t>检查结果</w:t>
            </w:r>
          </w:p>
        </w:tc>
        <w:tc>
          <w:tcPr>
            <w:tcW w:w="1631"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A</w:t>
            </w:r>
          </w:p>
        </w:tc>
        <w:tc>
          <w:tcPr>
            <w:tcW w:w="1695"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B</w:t>
            </w:r>
          </w:p>
        </w:tc>
        <w:tc>
          <w:tcPr>
            <w:tcW w:w="1375"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C</w:t>
            </w:r>
          </w:p>
        </w:tc>
        <w:tc>
          <w:tcPr>
            <w:tcW w:w="1417"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D</w:t>
            </w:r>
          </w:p>
        </w:tc>
      </w:tr>
    </w:tbl>
    <w:p>
      <w:pPr>
        <w:spacing w:line="440" w:lineRule="exact"/>
        <w:ind w:firstLine="240" w:firstLineChars="100"/>
        <w:rPr>
          <w:rFonts w:hint="eastAsia" w:ascii="仿宋" w:hAnsi="仿宋" w:eastAsia="仿宋"/>
          <w:sz w:val="24"/>
          <w:szCs w:val="24"/>
        </w:rPr>
      </w:pPr>
    </w:p>
    <w:p>
      <w:pPr>
        <w:spacing w:line="440" w:lineRule="exact"/>
        <w:ind w:firstLine="280" w:firstLineChars="100"/>
        <w:rPr>
          <w:rFonts w:ascii="仿宋" w:hAnsi="仿宋" w:eastAsia="仿宋"/>
          <w:sz w:val="28"/>
          <w:szCs w:val="28"/>
        </w:rPr>
      </w:pPr>
      <w:r>
        <w:rPr>
          <w:rFonts w:hint="eastAsia" w:ascii="仿宋" w:hAnsi="仿宋" w:eastAsia="仿宋"/>
          <w:sz w:val="28"/>
          <w:szCs w:val="28"/>
        </w:rPr>
        <w:t>注1.以上</w:t>
      </w:r>
      <w:r>
        <w:rPr>
          <w:rFonts w:ascii="仿宋" w:hAnsi="仿宋" w:eastAsia="仿宋"/>
          <w:sz w:val="28"/>
          <w:szCs w:val="28"/>
        </w:rPr>
        <w:t>判别</w:t>
      </w:r>
      <w:r>
        <w:rPr>
          <w:rFonts w:hint="eastAsia" w:ascii="仿宋" w:hAnsi="仿宋" w:eastAsia="仿宋"/>
          <w:sz w:val="28"/>
          <w:szCs w:val="28"/>
        </w:rPr>
        <w:t>条款数</w:t>
      </w:r>
      <w:r>
        <w:rPr>
          <w:rFonts w:ascii="仿宋" w:hAnsi="仿宋" w:eastAsia="仿宋"/>
          <w:sz w:val="28"/>
          <w:szCs w:val="28"/>
        </w:rPr>
        <w:t>，是并列的，只要符合</w:t>
      </w:r>
      <w:r>
        <w:rPr>
          <w:rFonts w:hint="eastAsia" w:ascii="仿宋" w:hAnsi="仿宋" w:eastAsia="仿宋"/>
          <w:sz w:val="28"/>
          <w:szCs w:val="28"/>
        </w:rPr>
        <w:t>1条</w:t>
      </w:r>
      <w:r>
        <w:rPr>
          <w:rFonts w:ascii="仿宋" w:hAnsi="仿宋" w:eastAsia="仿宋"/>
          <w:sz w:val="28"/>
          <w:szCs w:val="28"/>
        </w:rPr>
        <w:t>即可</w:t>
      </w:r>
      <w:r>
        <w:rPr>
          <w:rFonts w:hint="eastAsia" w:ascii="仿宋" w:hAnsi="仿宋" w:eastAsia="仿宋"/>
          <w:sz w:val="28"/>
          <w:szCs w:val="28"/>
        </w:rPr>
        <w:t>判</w:t>
      </w:r>
      <w:r>
        <w:rPr>
          <w:rFonts w:ascii="仿宋" w:hAnsi="仿宋" w:eastAsia="仿宋"/>
          <w:sz w:val="28"/>
          <w:szCs w:val="28"/>
        </w:rPr>
        <w:t>为相应的</w:t>
      </w:r>
      <w:r>
        <w:rPr>
          <w:rFonts w:hint="eastAsia" w:ascii="仿宋" w:hAnsi="仿宋" w:eastAsia="仿宋"/>
          <w:sz w:val="28"/>
          <w:szCs w:val="28"/>
        </w:rPr>
        <w:t>等级</w:t>
      </w:r>
      <w:r>
        <w:rPr>
          <w:rFonts w:ascii="仿宋" w:hAnsi="仿宋" w:eastAsia="仿宋"/>
          <w:sz w:val="28"/>
          <w:szCs w:val="28"/>
        </w:rPr>
        <w:t>。</w:t>
      </w:r>
    </w:p>
    <w:p>
      <w:pPr>
        <w:spacing w:line="440" w:lineRule="exact"/>
        <w:ind w:left="839" w:leftChars="133" w:hanging="560" w:hangingChars="200"/>
        <w:rPr>
          <w:rFonts w:ascii="仿宋" w:hAnsi="仿宋" w:eastAsia="仿宋"/>
          <w:sz w:val="28"/>
          <w:szCs w:val="28"/>
        </w:rPr>
      </w:pPr>
      <w:r>
        <w:rPr>
          <w:rFonts w:hint="eastAsia" w:ascii="仿宋" w:hAnsi="仿宋" w:eastAsia="仿宋"/>
          <w:sz w:val="28"/>
          <w:szCs w:val="28"/>
        </w:rPr>
        <w:t>注2.凡是</w:t>
      </w:r>
      <w:r>
        <w:rPr>
          <w:rFonts w:ascii="仿宋" w:hAnsi="仿宋" w:eastAsia="仿宋"/>
          <w:sz w:val="28"/>
          <w:szCs w:val="28"/>
        </w:rPr>
        <w:t>有不符合条款</w:t>
      </w:r>
      <w:r>
        <w:rPr>
          <w:rFonts w:hint="eastAsia" w:ascii="仿宋" w:hAnsi="仿宋" w:eastAsia="仿宋"/>
          <w:sz w:val="28"/>
          <w:szCs w:val="28"/>
        </w:rPr>
        <w:t>而</w:t>
      </w:r>
      <w:r>
        <w:rPr>
          <w:rFonts w:ascii="仿宋" w:hAnsi="仿宋" w:eastAsia="仿宋"/>
          <w:sz w:val="28"/>
          <w:szCs w:val="28"/>
        </w:rPr>
        <w:t>结果为</w:t>
      </w:r>
      <w:r>
        <w:rPr>
          <w:rFonts w:hint="eastAsia" w:ascii="仿宋" w:hAnsi="仿宋" w:eastAsia="仿宋"/>
          <w:sz w:val="28"/>
          <w:szCs w:val="28"/>
          <w:lang w:val="en-US" w:eastAsia="zh-CN"/>
        </w:rPr>
        <w:t>A级（通过）</w:t>
      </w:r>
      <w:r>
        <w:rPr>
          <w:rFonts w:hint="eastAsia" w:ascii="仿宋" w:hAnsi="仿宋" w:eastAsia="仿宋"/>
          <w:sz w:val="28"/>
          <w:szCs w:val="28"/>
        </w:rPr>
        <w:t>者</w:t>
      </w:r>
      <w:r>
        <w:rPr>
          <w:rFonts w:ascii="仿宋" w:hAnsi="仿宋" w:eastAsia="仿宋"/>
          <w:sz w:val="28"/>
          <w:szCs w:val="28"/>
        </w:rPr>
        <w:t>，</w:t>
      </w:r>
      <w:r>
        <w:rPr>
          <w:rFonts w:hint="eastAsia" w:ascii="仿宋" w:hAnsi="仿宋" w:eastAsia="仿宋"/>
          <w:sz w:val="28"/>
          <w:szCs w:val="28"/>
        </w:rPr>
        <w:t>仍需按</w:t>
      </w:r>
      <w:r>
        <w:rPr>
          <w:rFonts w:ascii="仿宋" w:hAnsi="仿宋" w:eastAsia="仿宋"/>
          <w:sz w:val="28"/>
          <w:szCs w:val="28"/>
        </w:rPr>
        <w:t>规则上报《</w:t>
      </w:r>
      <w:r>
        <w:rPr>
          <w:rFonts w:hint="eastAsia" w:ascii="仿宋" w:hAnsi="仿宋" w:eastAsia="仿宋"/>
          <w:sz w:val="28"/>
          <w:szCs w:val="28"/>
        </w:rPr>
        <w:t>整改</w:t>
      </w:r>
      <w:r>
        <w:rPr>
          <w:rFonts w:ascii="仿宋" w:hAnsi="仿宋" w:eastAsia="仿宋"/>
          <w:sz w:val="28"/>
          <w:szCs w:val="28"/>
        </w:rPr>
        <w:t>报告》</w:t>
      </w:r>
      <w:r>
        <w:rPr>
          <w:rFonts w:hint="eastAsia" w:ascii="仿宋" w:hAnsi="仿宋" w:eastAsia="仿宋"/>
          <w:sz w:val="28"/>
          <w:szCs w:val="28"/>
        </w:rPr>
        <w:t>。</w:t>
      </w:r>
    </w:p>
    <w:p>
      <w:pPr>
        <w:spacing w:line="440" w:lineRule="exact"/>
        <w:ind w:left="839" w:leftChars="133" w:hanging="560" w:hangingChars="200"/>
        <w:rPr>
          <w:rFonts w:ascii="仿宋" w:hAnsi="仿宋" w:eastAsia="仿宋"/>
          <w:sz w:val="28"/>
          <w:szCs w:val="28"/>
        </w:rPr>
      </w:pPr>
      <w:r>
        <w:rPr>
          <w:rFonts w:hint="eastAsia" w:ascii="仿宋" w:hAnsi="仿宋" w:eastAsia="仿宋"/>
          <w:sz w:val="28"/>
          <w:szCs w:val="28"/>
        </w:rPr>
        <w:t>注3.对于</w:t>
      </w:r>
      <w:r>
        <w:rPr>
          <w:rFonts w:hint="eastAsia" w:ascii="仿宋" w:hAnsi="仿宋" w:eastAsia="仿宋"/>
          <w:sz w:val="28"/>
          <w:szCs w:val="28"/>
          <w:lang w:val="en-US" w:eastAsia="zh-CN"/>
        </w:rPr>
        <w:t>C级</w:t>
      </w:r>
      <w:r>
        <w:rPr>
          <w:rFonts w:ascii="仿宋" w:hAnsi="仿宋" w:eastAsia="仿宋"/>
          <w:sz w:val="28"/>
          <w:szCs w:val="28"/>
        </w:rPr>
        <w:t>，现场复查可</w:t>
      </w:r>
      <w:r>
        <w:rPr>
          <w:rFonts w:hint="eastAsia" w:ascii="仿宋" w:hAnsi="仿宋" w:eastAsia="仿宋"/>
          <w:sz w:val="28"/>
          <w:szCs w:val="28"/>
        </w:rPr>
        <w:t>由</w:t>
      </w:r>
      <w:r>
        <w:rPr>
          <w:rFonts w:ascii="仿宋" w:hAnsi="仿宋" w:eastAsia="仿宋"/>
          <w:sz w:val="28"/>
          <w:szCs w:val="28"/>
        </w:rPr>
        <w:t>组长或委派1名本组成员</w:t>
      </w:r>
      <w:r>
        <w:rPr>
          <w:rFonts w:hint="eastAsia" w:ascii="仿宋" w:hAnsi="仿宋" w:eastAsia="仿宋"/>
          <w:sz w:val="28"/>
          <w:szCs w:val="28"/>
        </w:rPr>
        <w:t>赴</w:t>
      </w:r>
      <w:r>
        <w:rPr>
          <w:rFonts w:ascii="仿宋" w:hAnsi="仿宋" w:eastAsia="仿宋"/>
          <w:sz w:val="28"/>
          <w:szCs w:val="28"/>
        </w:rPr>
        <w:t>被检查高校完成。</w:t>
      </w:r>
    </w:p>
    <w:p>
      <w:pPr>
        <w:spacing w:line="440" w:lineRule="exact"/>
        <w:ind w:left="839" w:leftChars="133" w:hanging="560" w:hangingChars="200"/>
        <w:rPr>
          <w:rFonts w:ascii="仿宋" w:hAnsi="仿宋" w:eastAsia="仿宋"/>
          <w:sz w:val="24"/>
          <w:szCs w:val="24"/>
        </w:rPr>
      </w:pPr>
      <w:r>
        <w:rPr>
          <w:rFonts w:hint="eastAsia" w:ascii="仿宋" w:hAnsi="仿宋" w:eastAsia="仿宋"/>
          <w:sz w:val="28"/>
          <w:szCs w:val="28"/>
        </w:rPr>
        <w:t>注4.检查</w:t>
      </w:r>
      <w:r>
        <w:rPr>
          <w:rFonts w:ascii="仿宋" w:hAnsi="仿宋" w:eastAsia="仿宋"/>
          <w:sz w:val="28"/>
          <w:szCs w:val="28"/>
        </w:rPr>
        <w:t>结果将予以通报。</w:t>
      </w:r>
      <w:r>
        <w:rPr>
          <w:rFonts w:hint="eastAsia" w:ascii="仿宋" w:hAnsi="仿宋" w:eastAsia="仿宋"/>
          <w:sz w:val="28"/>
          <w:szCs w:val="28"/>
        </w:rPr>
        <w:t>对于</w:t>
      </w:r>
      <w:r>
        <w:rPr>
          <w:rFonts w:hint="eastAsia" w:ascii="仿宋" w:hAnsi="仿宋" w:eastAsia="仿宋"/>
          <w:sz w:val="28"/>
          <w:szCs w:val="28"/>
          <w:lang w:val="en-US" w:eastAsia="zh-CN"/>
        </w:rPr>
        <w:t>D级</w:t>
      </w:r>
      <w:r>
        <w:rPr>
          <w:rFonts w:ascii="仿宋" w:hAnsi="仿宋" w:eastAsia="仿宋"/>
          <w:sz w:val="28"/>
          <w:szCs w:val="28"/>
        </w:rPr>
        <w:t>，</w:t>
      </w:r>
      <w:r>
        <w:rPr>
          <w:rFonts w:hint="eastAsia" w:ascii="仿宋" w:hAnsi="仿宋" w:eastAsia="仿宋"/>
          <w:sz w:val="28"/>
          <w:szCs w:val="28"/>
        </w:rPr>
        <w:t>限期2个月</w:t>
      </w:r>
      <w:r>
        <w:rPr>
          <w:rFonts w:ascii="仿宋" w:hAnsi="仿宋" w:eastAsia="仿宋"/>
          <w:sz w:val="28"/>
          <w:szCs w:val="28"/>
        </w:rPr>
        <w:t>整改，检查组再次进校。</w:t>
      </w:r>
    </w:p>
    <w:p>
      <w:pPr>
        <w:spacing w:line="440" w:lineRule="exact"/>
        <w:ind w:firstLine="240" w:firstLineChars="100"/>
        <w:rPr>
          <w:rFonts w:hint="eastAsia" w:ascii="仿宋" w:hAnsi="仿宋" w:eastAsia="仿宋"/>
          <w:sz w:val="28"/>
          <w:szCs w:val="24"/>
        </w:rPr>
      </w:pPr>
      <w:r>
        <w:rPr>
          <w:rFonts w:hint="eastAsia" w:ascii="仿宋" w:hAnsi="仿宋" w:eastAsia="仿宋"/>
          <w:sz w:val="24"/>
          <w:szCs w:val="24"/>
        </w:rPr>
        <w:t xml:space="preserve">  </w:t>
      </w:r>
    </w:p>
    <w:p>
      <w:pPr>
        <w:spacing w:line="500" w:lineRule="exact"/>
        <w:ind w:firstLine="560" w:firstLineChars="200"/>
        <w:rPr>
          <w:rFonts w:ascii="仿宋" w:hAnsi="仿宋" w:eastAsia="仿宋"/>
          <w:sz w:val="28"/>
          <w:szCs w:val="24"/>
        </w:rPr>
      </w:pPr>
    </w:p>
    <w:p>
      <w:pPr>
        <w:shd w:val="clea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pPr>
    </w:p>
    <w:p>
      <w:pPr>
        <w:adjustRightInd w:val="0"/>
        <w:snapToGrid w:val="0"/>
        <w:spacing w:after="156" w:afterLines="50" w:line="500" w:lineRule="exact"/>
        <w:jc w:val="center"/>
        <w:rPr>
          <w:rFonts w:eastAsia="方正小标宋简体"/>
          <w:b/>
          <w:sz w:val="36"/>
          <w:szCs w:val="30"/>
        </w:rPr>
        <w:sectPr>
          <w:footerReference r:id="rId3" w:type="default"/>
          <w:pgSz w:w="11906" w:h="16838"/>
          <w:pgMar w:top="1418" w:right="1474" w:bottom="1588" w:left="1587" w:header="851" w:footer="992" w:gutter="0"/>
          <w:pgNumType w:start="1"/>
          <w:cols w:space="0" w:num="1"/>
          <w:rtlGutter w:val="0"/>
          <w:docGrid w:type="linesAndChars" w:linePitch="312" w:charSpace="0"/>
        </w:sectPr>
      </w:pP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201</w:t>
      </w:r>
      <w:r>
        <w:rPr>
          <w:rFonts w:hint="eastAsia" w:eastAsia="方正小标宋简体"/>
          <w:b/>
          <w:sz w:val="36"/>
          <w:szCs w:val="30"/>
        </w:rPr>
        <w:t>8</w:t>
      </w:r>
      <w:r>
        <w:rPr>
          <w:rFonts w:hint="eastAsia" w:eastAsia="方正小标宋简体"/>
          <w:b/>
          <w:sz w:val="36"/>
          <w:szCs w:val="30"/>
          <w:lang w:eastAsia="zh-CN"/>
        </w:rPr>
        <w:t>年全国</w:t>
      </w: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p>
    <w:tbl>
      <w:tblPr>
        <w:tblStyle w:val="25"/>
        <w:tblW w:w="15230" w:type="dxa"/>
        <w:jc w:val="center"/>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8678"/>
        <w:gridCol w:w="3582"/>
        <w:gridCol w:w="362"/>
        <w:gridCol w:w="388"/>
        <w:gridCol w:w="38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689"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867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582"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2281"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blHeader/>
          <w:jc w:val="center"/>
        </w:trPr>
        <w:tc>
          <w:tcPr>
            <w:tcW w:w="689"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8678"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582"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62"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388"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388"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1143" w:type="dxa"/>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w:t>
            </w:r>
          </w:p>
        </w:tc>
        <w:tc>
          <w:tcPr>
            <w:tcW w:w="14541"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1.1</w:t>
            </w:r>
          </w:p>
        </w:tc>
        <w:tc>
          <w:tcPr>
            <w:tcW w:w="14541"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FF0000"/>
            <w:tcMar>
              <w:left w:w="45" w:type="dxa"/>
              <w:right w:w="45" w:type="dxa"/>
            </w:tcMar>
            <w:vAlign w:val="center"/>
          </w:tcPr>
          <w:p>
            <w:pPr>
              <w:widowControl/>
              <w:spacing w:line="300" w:lineRule="exact"/>
              <w:jc w:val="center"/>
              <w:rPr>
                <w:kern w:val="0"/>
                <w:szCs w:val="21"/>
              </w:rPr>
            </w:pPr>
            <w:r>
              <w:rPr>
                <w:kern w:val="0"/>
                <w:szCs w:val="21"/>
              </w:rPr>
              <w:t>1.1.1</w:t>
            </w:r>
          </w:p>
        </w:tc>
        <w:tc>
          <w:tcPr>
            <w:tcW w:w="8678"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582"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FF0000"/>
            <w:tcMar>
              <w:left w:w="45" w:type="dxa"/>
              <w:right w:w="45" w:type="dxa"/>
            </w:tcMar>
            <w:vAlign w:val="center"/>
          </w:tcPr>
          <w:p>
            <w:pPr>
              <w:widowControl/>
              <w:spacing w:line="300" w:lineRule="exact"/>
              <w:jc w:val="center"/>
              <w:rPr>
                <w:kern w:val="0"/>
                <w:szCs w:val="21"/>
              </w:rPr>
            </w:pPr>
            <w:r>
              <w:rPr>
                <w:kern w:val="0"/>
                <w:szCs w:val="21"/>
              </w:rPr>
              <w:t>1.1.2</w:t>
            </w:r>
          </w:p>
        </w:tc>
        <w:tc>
          <w:tcPr>
            <w:tcW w:w="8678"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设实验室安全管理科室（3万学生规模以上且仪器设备总值超过3亿元</w:t>
            </w:r>
            <w:r>
              <w:rPr>
                <w:rFonts w:hint="eastAsia"/>
                <w:kern w:val="0"/>
                <w:szCs w:val="21"/>
              </w:rPr>
              <w:t>的</w:t>
            </w:r>
            <w:r>
              <w:rPr>
                <w:kern w:val="0"/>
                <w:szCs w:val="21"/>
              </w:rPr>
              <w:t>学校），或有专职的实验室安全管理人员</w:t>
            </w:r>
          </w:p>
        </w:tc>
        <w:tc>
          <w:tcPr>
            <w:tcW w:w="3582"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1.1.4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kern w:val="0"/>
                <w:szCs w:val="21"/>
              </w:rPr>
            </w:pPr>
            <w:r>
              <w:rPr>
                <w:kern w:val="0"/>
                <w:szCs w:val="21"/>
              </w:rPr>
              <w:t>学校与</w:t>
            </w:r>
            <w:r>
              <w:rPr>
                <w:rFonts w:hint="eastAsia"/>
                <w:kern w:val="0"/>
                <w:szCs w:val="21"/>
              </w:rPr>
              <w:t>院系</w:t>
            </w:r>
            <w:r>
              <w:rPr>
                <w:kern w:val="0"/>
                <w:szCs w:val="21"/>
              </w:rPr>
              <w:t>签订实验室安全管理责任书</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1.1.5</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Cs/>
                <w:kern w:val="0"/>
                <w:szCs w:val="21"/>
              </w:rPr>
            </w:pPr>
            <w:r>
              <w:rPr>
                <w:rFonts w:hint="eastAsia"/>
                <w:bCs/>
                <w:kern w:val="0"/>
                <w:szCs w:val="21"/>
              </w:rPr>
              <w:t>检查</w:t>
            </w:r>
            <w:r>
              <w:rPr>
                <w:bCs/>
                <w:kern w:val="0"/>
                <w:szCs w:val="21"/>
              </w:rPr>
              <w:t>存档资料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1.2</w:t>
            </w:r>
          </w:p>
        </w:tc>
        <w:tc>
          <w:tcPr>
            <w:tcW w:w="14541"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1.2.1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成立实验室安全领导小组，由党/政主要领导作为负责人，研究所、</w:t>
            </w:r>
            <w:r>
              <w:rPr>
                <w:rFonts w:hint="eastAsia"/>
                <w:kern w:val="0"/>
                <w:szCs w:val="21"/>
                <w:lang w:val="en-GB"/>
              </w:rPr>
              <w:t>中心</w:t>
            </w:r>
            <w:r>
              <w:rPr>
                <w:rFonts w:hint="eastAsia"/>
                <w:kern w:val="0"/>
                <w:szCs w:val="21"/>
              </w:rPr>
              <w:t>、教研室、实验室等负责人参加。分管实验室的领导主管实验室安全</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查院系文件</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理（除数学）、工、农、医等类院系有专职实验室安全管理人员；文、管、艺术类、数学等院系有兼职实验室安全管理人</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查院系任命文件、工作记录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建立院系安全责任体系，所有实验房间都需明确安全责任人</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查资料或网络管理系统，关注有多校区分布的情况</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研究所、</w:t>
            </w:r>
            <w:r>
              <w:rPr>
                <w:rFonts w:hint="eastAsia"/>
                <w:kern w:val="0"/>
                <w:szCs w:val="21"/>
                <w:lang w:val="en-GB"/>
              </w:rPr>
              <w:t>中心</w:t>
            </w:r>
            <w:r>
              <w:rPr>
                <w:rFonts w:hint="eastAsia"/>
                <w:kern w:val="0"/>
                <w:szCs w:val="21"/>
              </w:rPr>
              <w:t>、教研室、实验室等机构有安全责任人和管理人</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查院系发布的文件</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1.2.5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实验室安全管理责任书要层层签订到房间安全责任人，及每一位使用实验室的教师</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查存档的责任书</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bCs/>
                <w:kern w:val="0"/>
                <w:szCs w:val="21"/>
              </w:rPr>
            </w:pPr>
            <w:r>
              <w:rPr>
                <w:b/>
                <w:bCs/>
                <w:kern w:val="0"/>
                <w:szCs w:val="21"/>
              </w:rPr>
              <w:t>1.3</w:t>
            </w:r>
          </w:p>
        </w:tc>
        <w:tc>
          <w:tcPr>
            <w:tcW w:w="14541"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1.3.1</w:t>
            </w:r>
          </w:p>
        </w:tc>
        <w:tc>
          <w:tcPr>
            <w:tcW w:w="8678" w:type="dxa"/>
            <w:shd w:val="clear" w:color="auto" w:fill="DAE3F3" w:themeFill="accent5" w:themeFillTint="32"/>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3582" w:type="dxa"/>
            <w:shd w:val="clear" w:color="auto" w:fill="DAE3F3" w:themeFill="accent5" w:themeFillTint="32"/>
            <w:tcMar>
              <w:left w:w="45" w:type="dxa"/>
              <w:right w:w="45" w:type="dxa"/>
            </w:tcMar>
            <w:vAlign w:val="center"/>
          </w:tcPr>
          <w:p>
            <w:pPr>
              <w:widowControl/>
              <w:spacing w:line="300" w:lineRule="exact"/>
              <w:jc w:val="left"/>
              <w:rPr>
                <w:bCs/>
                <w:kern w:val="0"/>
                <w:szCs w:val="21"/>
              </w:rPr>
            </w:pPr>
            <w:r>
              <w:rPr>
                <w:rFonts w:hint="eastAsia"/>
                <w:bCs/>
                <w:kern w:val="0"/>
                <w:szCs w:val="21"/>
              </w:rPr>
              <w:t>有财务</w:t>
            </w:r>
            <w:r>
              <w:rPr>
                <w:bCs/>
                <w:kern w:val="0"/>
                <w:szCs w:val="21"/>
              </w:rPr>
              <w:t>证据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1.3.2</w:t>
            </w:r>
          </w:p>
        </w:tc>
        <w:tc>
          <w:tcPr>
            <w:tcW w:w="867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学校有专项经费投入实验室安全建设与管理，重大安全隐患整改经费能够落实</w:t>
            </w:r>
          </w:p>
        </w:tc>
        <w:tc>
          <w:tcPr>
            <w:tcW w:w="3582"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证据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1.3.3</w:t>
            </w:r>
          </w:p>
        </w:tc>
        <w:tc>
          <w:tcPr>
            <w:tcW w:w="867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582"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1.4.1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建有实验室安全信息化管理系统并有效运行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查看系统中实验室房间、人员、安全风险点与防控、安全检查等信息</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1.4.2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管理部门建立了完整的实验室安全工作档案，包括责任体系、队伍建设、安全制度、奖惩、教育培训、安全检查、隐患整改、事故调查与处理、专业安全、其它相关的常规或阶段性工作归档资料等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档案分类规范合理，便于查找</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2.1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FF0000"/>
            <w:tcMar>
              <w:left w:w="45" w:type="dxa"/>
              <w:right w:w="45" w:type="dxa"/>
            </w:tcMar>
            <w:vAlign w:val="center"/>
          </w:tcPr>
          <w:p>
            <w:pPr>
              <w:widowControl/>
              <w:spacing w:line="300" w:lineRule="exact"/>
              <w:jc w:val="center"/>
              <w:rPr>
                <w:bCs/>
                <w:kern w:val="0"/>
                <w:szCs w:val="21"/>
              </w:rPr>
            </w:pPr>
            <w:r>
              <w:rPr>
                <w:bCs/>
                <w:kern w:val="0"/>
                <w:szCs w:val="21"/>
              </w:rPr>
              <w:t>2.1.1</w:t>
            </w:r>
          </w:p>
        </w:tc>
        <w:tc>
          <w:tcPr>
            <w:tcW w:w="8678"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有实验室技术安全管理办法</w:t>
            </w:r>
          </w:p>
        </w:tc>
        <w:tc>
          <w:tcPr>
            <w:tcW w:w="3582" w:type="dxa"/>
            <w:vMerge w:val="restart"/>
            <w:shd w:val="clear" w:color="auto" w:fill="auto"/>
            <w:tcMar>
              <w:left w:w="45" w:type="dxa"/>
              <w:right w:w="45" w:type="dxa"/>
            </w:tcMar>
            <w:vAlign w:val="center"/>
          </w:tcPr>
          <w:p>
            <w:pPr>
              <w:keepNext w:val="0"/>
              <w:keepLines w:val="0"/>
              <w:pageBreakBefore w:val="0"/>
              <w:widowControl/>
              <w:shd w:val="clear" w:fill="FF0000"/>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1.制度文件有学校正式发文号；</w:t>
            </w:r>
          </w:p>
          <w:p>
            <w:pPr>
              <w:keepNext w:val="0"/>
              <w:keepLines w:val="0"/>
              <w:pageBreakBefore w:val="0"/>
              <w:widowControl/>
              <w:shd w:val="clear" w:fill="FF0000"/>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2.文件是否长期未修订更新、陈旧过时；</w:t>
            </w:r>
          </w:p>
          <w:p>
            <w:pPr>
              <w:keepNext w:val="0"/>
              <w:keepLines w:val="0"/>
              <w:pageBreakBefore w:val="0"/>
              <w:widowControl/>
              <w:shd w:val="clear" w:fill="FF0000"/>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3.文件是否过于简单粗糙、流于形式，缺乏可操作性或实际管理效用；</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Cs/>
                <w:kern w:val="0"/>
                <w:szCs w:val="21"/>
              </w:rPr>
            </w:pPr>
            <w:r>
              <w:rPr>
                <w:bCs/>
                <w:kern w:val="0"/>
                <w:szCs w:val="21"/>
              </w:rPr>
              <w:t>2.1.2</w:t>
            </w:r>
          </w:p>
        </w:tc>
        <w:tc>
          <w:tcPr>
            <w:tcW w:w="8678" w:type="dxa"/>
            <w:shd w:val="clear" w:color="auto" w:fill="auto"/>
            <w:tcMar>
              <w:left w:w="45" w:type="dxa"/>
              <w:right w:w="45" w:type="dxa"/>
            </w:tcMar>
            <w:vAlign w:val="center"/>
          </w:tcPr>
          <w:p>
            <w:pPr>
              <w:widowControl/>
              <w:spacing w:line="300" w:lineRule="exact"/>
              <w:jc w:val="left"/>
              <w:rPr>
                <w:bCs/>
                <w:kern w:val="0"/>
                <w:szCs w:val="21"/>
              </w:rPr>
            </w:pPr>
            <w:r>
              <w:rPr>
                <w:bCs/>
                <w:kern w:val="0"/>
                <w:szCs w:val="21"/>
                <w:shd w:val="clear" w:fill="DAE3F3" w:themeFill="accent5" w:themeFillTint="32"/>
              </w:rPr>
              <w:t>有实验室安全</w:t>
            </w:r>
            <w:r>
              <w:rPr>
                <w:rFonts w:hint="eastAsia"/>
                <w:bCs/>
                <w:kern w:val="0"/>
                <w:szCs w:val="21"/>
                <w:shd w:val="clear" w:fill="DAE3F3" w:themeFill="accent5" w:themeFillTint="32"/>
              </w:rPr>
              <w:t>奖励与</w:t>
            </w:r>
            <w:r>
              <w:rPr>
                <w:bCs/>
                <w:kern w:val="0"/>
                <w:szCs w:val="21"/>
                <w:shd w:val="clear" w:fill="DAE3F3" w:themeFill="accent5" w:themeFillTint="32"/>
              </w:rPr>
              <w:t>责任追究制度</w:t>
            </w:r>
          </w:p>
        </w:tc>
        <w:tc>
          <w:tcPr>
            <w:tcW w:w="3582" w:type="dxa"/>
            <w:vMerge w:val="continue"/>
            <w:shd w:val="clear" w:color="auto" w:fill="auto"/>
            <w:tcMar>
              <w:left w:w="45" w:type="dxa"/>
              <w:right w:w="45" w:type="dxa"/>
            </w:tcMar>
            <w:vAlign w:val="center"/>
          </w:tcPr>
          <w:p>
            <w:pPr>
              <w:spacing w:line="300" w:lineRule="exact"/>
              <w:rPr>
                <w:bCs/>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Cs/>
                <w:kern w:val="0"/>
                <w:szCs w:val="21"/>
              </w:rPr>
            </w:pPr>
            <w:r>
              <w:rPr>
                <w:bCs/>
                <w:kern w:val="0"/>
                <w:szCs w:val="21"/>
              </w:rPr>
              <w:t>2.1.3</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有实验室安全检查制度</w:t>
            </w:r>
          </w:p>
        </w:tc>
        <w:tc>
          <w:tcPr>
            <w:tcW w:w="3582" w:type="dxa"/>
            <w:vMerge w:val="continue"/>
            <w:shd w:val="clear" w:color="auto" w:fill="auto"/>
            <w:tcMar>
              <w:left w:w="45" w:type="dxa"/>
              <w:right w:w="45" w:type="dxa"/>
            </w:tcMar>
            <w:vAlign w:val="center"/>
          </w:tcPr>
          <w:p>
            <w:pPr>
              <w:spacing w:line="300" w:lineRule="exact"/>
              <w:rPr>
                <w:bCs/>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Cs/>
                <w:kern w:val="0"/>
                <w:szCs w:val="21"/>
              </w:rPr>
            </w:pPr>
            <w:r>
              <w:rPr>
                <w:rFonts w:hint="eastAsia"/>
                <w:bCs/>
                <w:kern w:val="0"/>
                <w:szCs w:val="21"/>
              </w:rPr>
              <w:t>2.1.4</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有实验室安全教育与实验室准入制度</w:t>
            </w:r>
          </w:p>
        </w:tc>
        <w:tc>
          <w:tcPr>
            <w:tcW w:w="3582"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Cs/>
                <w:kern w:val="0"/>
                <w:szCs w:val="21"/>
              </w:rPr>
            </w:pPr>
            <w:r>
              <w:rPr>
                <w:bCs/>
                <w:kern w:val="0"/>
                <w:szCs w:val="21"/>
              </w:rPr>
              <w:t>2.1.5</w:t>
            </w:r>
          </w:p>
        </w:tc>
        <w:tc>
          <w:tcPr>
            <w:tcW w:w="867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582"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Cs/>
                <w:kern w:val="0"/>
                <w:szCs w:val="21"/>
              </w:rPr>
            </w:pPr>
            <w:r>
              <w:rPr>
                <w:bCs/>
                <w:kern w:val="0"/>
                <w:szCs w:val="21"/>
              </w:rPr>
              <w:t>2.1.6</w:t>
            </w:r>
          </w:p>
        </w:tc>
        <w:tc>
          <w:tcPr>
            <w:tcW w:w="8678"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有化学、生物、辐射、电气、机械、排污、仪器设备等安全管理规定</w:t>
            </w:r>
          </w:p>
        </w:tc>
        <w:tc>
          <w:tcPr>
            <w:tcW w:w="3582"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Cs/>
                <w:kern w:val="0"/>
                <w:szCs w:val="21"/>
              </w:rPr>
            </w:pPr>
            <w:r>
              <w:rPr>
                <w:rFonts w:hint="eastAsia"/>
                <w:bCs/>
                <w:kern w:val="0"/>
                <w:szCs w:val="21"/>
              </w:rPr>
              <w:t>2.1.7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Cs/>
                <w:kern w:val="0"/>
                <w:szCs w:val="21"/>
              </w:rPr>
            </w:pPr>
            <w:r>
              <w:rPr>
                <w:rFonts w:hint="eastAsia"/>
                <w:kern w:val="0"/>
                <w:szCs w:val="21"/>
                <w:shd w:val="clear" w:fill="C5E0B3" w:themeFill="accent6" w:themeFillTint="66"/>
              </w:rPr>
              <w:t>有实验室突发事件应急预案（包括化学、生物、辐射、电气、机械等分类）</w:t>
            </w:r>
          </w:p>
        </w:tc>
        <w:tc>
          <w:tcPr>
            <w:tcW w:w="3582"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2.2</w:t>
            </w:r>
          </w:p>
        </w:tc>
        <w:tc>
          <w:tcPr>
            <w:tcW w:w="14541"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Cs/>
                <w:kern w:val="0"/>
                <w:szCs w:val="21"/>
              </w:rPr>
            </w:pPr>
            <w:r>
              <w:rPr>
                <w:bCs/>
                <w:kern w:val="0"/>
                <w:szCs w:val="21"/>
              </w:rPr>
              <w:t>2.2.1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具有学科特色的实验室安全管理制度</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查院系制度是否公开明示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2.2.2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有安全检查与值班值日制度</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查安全检查记录本、每个实验室房间的值日表</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2.2.3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涉及安全隐患的设备（如大型仪器、高温、高速、高压、强磁、低温等设备）有安全操作规程，并明示</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包括操作步骤与安全注意事项；张贴位置正确；门口有明显标识</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2.2.4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危险性实验、工艺有实验指导书或操作规程（含安全注意事项），并明示</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门口信息牌有标识；查看资料、实验记录、询问学生</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2.2.5</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建立了危险性实验风险评估与准入机制</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查看开题报告、新开设教学实验审批资料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2.2.6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有体现学科特色的应急预案</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针对本实验室的危险隐患，有应急预案或风险防控方案</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3</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3.1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3.1.1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开设合适的实验室安全必修课或选修课</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化学、生物等安全重点防范学科应开设必修课</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3.1.2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每年开展全校教工和学生安全教育培训活动，有记录</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查看历年存档记录，包含培训时间、内容、人数、通知、会场照片等</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院系有专业安全培训活动，建立实验室准入制度</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查看记录，重点关注外来人员特别是尚未报到的研究生新生</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3.1.4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开展结合学科特点的应急演练，有记录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查看档案，包含演练内容、人数、效果评价等</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3.2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3.2.1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建立了实验室安全知识考试系统，具有学习与考试功能</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查看考试系统</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题库内容包含通识类和各专业学科分类安全知识、安全规范、国家相关法律法规、应急措施等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查看系统</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3.2.3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每年组织新教工、本科生和研究生新生学习与考试，通过者发放合格证</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3.3</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3.3.1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有适合学校特色的安全文化建设计划</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3.3.2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编印实验室安全手册并发放到每一位师生，承诺书归档</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查看每年发放记录、师生签字的承诺书</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3.3.3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学校、院系网页设立专门的板块开展安全宣传、经验交流等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查看相关网页</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3.3.4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加强宣传，有安全文化专门举措或活动，如微信公众号、安全工作简报、安全文化月、安全专项整治活动、实验室安全达标、实验室安全评估、安全知识竞赛、微电影拍摄等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有安全教育宣传窗、宣传画、标语、温馨提示等；查看存档资料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3.3.5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通过各种信息/媒体平台对师生进行安全知识传输和温馨提醒</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查看信息/媒体平台</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4</w:t>
            </w:r>
          </w:p>
        </w:tc>
        <w:tc>
          <w:tcPr>
            <w:tcW w:w="14541"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4.1</w:t>
            </w:r>
          </w:p>
        </w:tc>
        <w:tc>
          <w:tcPr>
            <w:tcW w:w="14541"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4.1.1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学校、学院层面建立了实验室安全危险源清单，内容包括涉及单位、房间、类别、数量、责任人等信息</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查看清单和明细</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w:t>
            </w:r>
            <w:r>
              <w:rPr>
                <w:kern w:val="0"/>
                <w:szCs w:val="21"/>
              </w:rPr>
              <w:t>.1</w:t>
            </w:r>
            <w:r>
              <w:rPr>
                <w:rFonts w:hint="eastAsia"/>
                <w:kern w:val="0"/>
                <w:szCs w:val="21"/>
              </w:rPr>
              <w:t>.2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对于涉及危险源的实验场所，有明确的警示标识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4.1.3</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涉及剧毒品、病原微生物、放射性同位素、强磁等高危场所，具备符合要求的软硬件设施，并有明显的警示标识</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4.1.4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实验室有针对本室重要危险源的风险评估和应急管控方案，并报院系备案</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4.2</w:t>
            </w:r>
          </w:p>
        </w:tc>
        <w:tc>
          <w:tcPr>
            <w:tcW w:w="14541"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w:t>
            </w:r>
            <w:r>
              <w:rPr>
                <w:kern w:val="0"/>
                <w:szCs w:val="21"/>
              </w:rPr>
              <w:t>.</w:t>
            </w:r>
            <w:r>
              <w:rPr>
                <w:rFonts w:hint="eastAsia"/>
                <w:kern w:val="0"/>
                <w:szCs w:val="21"/>
              </w:rPr>
              <w:t>2.1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学校层面的定期/不定期检查每年不少于4次，并记录存档</w:t>
            </w:r>
          </w:p>
        </w:tc>
        <w:tc>
          <w:tcPr>
            <w:tcW w:w="3582" w:type="dxa"/>
            <w:vMerge w:val="restart"/>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w:t>
            </w:r>
            <w:r>
              <w:rPr>
                <w:kern w:val="0"/>
                <w:szCs w:val="21"/>
              </w:rPr>
              <w:t>.</w:t>
            </w:r>
            <w:r>
              <w:rPr>
                <w:rFonts w:hint="eastAsia"/>
                <w:kern w:val="0"/>
                <w:szCs w:val="21"/>
              </w:rPr>
              <w:t>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针对高危实验物品（如剧毒品、病原微生物、放射源等），每年有专项检查</w:t>
            </w:r>
          </w:p>
        </w:tc>
        <w:tc>
          <w:tcPr>
            <w:tcW w:w="3582" w:type="dxa"/>
            <w:vMerge w:val="continue"/>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院系组织专门人员开展定期检查，每月不少于1次，并记录存档</w:t>
            </w:r>
          </w:p>
        </w:tc>
        <w:tc>
          <w:tcPr>
            <w:tcW w:w="3582" w:type="dxa"/>
            <w:vMerge w:val="continue"/>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4.2.4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实验室房间有值日台账，每天最后离开的人检查水电气门窗等，并签字</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4.3</w:t>
            </w:r>
          </w:p>
        </w:tc>
        <w:tc>
          <w:tcPr>
            <w:tcW w:w="14541"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w:t>
            </w:r>
            <w:r>
              <w:rPr>
                <w:kern w:val="0"/>
                <w:szCs w:val="21"/>
              </w:rPr>
              <w:t>.3.1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对于检查中发现的问题，有合适的方式通知被查实验室相关负责人及院系（如网上公示、整改通知书等），并规范存档</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查看存档资料、整改通知书需有被查院系单位签收</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w:t>
            </w:r>
            <w:r>
              <w:rPr>
                <w:kern w:val="0"/>
                <w:szCs w:val="21"/>
              </w:rPr>
              <w:t>.3.2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院系落实问题隐患的整改，整改报告在规定时间内提交学校管理部门，并归档</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查看存档资料、整改前后有证明材料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4.3.3</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如有重大隐患，实验室应立即停止实验活动，采取相应防范措施或整改完成后方能恢复实验</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4.4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w:t>
            </w:r>
            <w:r>
              <w:rPr>
                <w:kern w:val="0"/>
                <w:szCs w:val="21"/>
              </w:rPr>
              <w:t>.</w:t>
            </w:r>
            <w:r>
              <w:rPr>
                <w:rFonts w:hint="eastAsia"/>
                <w:kern w:val="0"/>
                <w:szCs w:val="21"/>
              </w:rPr>
              <w:t>4.1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学校有公示的安全检查通报（定期/不定期）</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查看相关资料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院系有安全检查记录，存档记录规范</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查看相应存档内容</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4.5</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4.5.1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安全检查人员要佩戴标识、配备照相器具</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检查标识及相关器具，或图片等原始文件</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4.5.2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进入化学、生物、辐射等实验室要穿戴必要的防护装具</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检查相关装具，或图片等原始文件</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4.5.3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检查辐射场所要佩戴个人辐射剂量计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检查相关剂量计，或图片等原始文件</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4.5.4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条件许可的，应配备必要的测量、计量用具（电笔、万用表、声级计、风速仪等）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检查相关用具，或图片等原始文件</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5</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5.1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超过200平方米的实验楼层应具有至少两处紧急出口，75平方米以上实验室要有两扇门</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查看室内外</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每个房间门口挂有安全信息牌，信息包括安全责任人、涉及危险类别、防护措施和有效的应急联系电话等，并及时更新</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有信息牌，信息完整，应急电话有效</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实验室应张贴针对安全风险点的警示标识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查看标识，应当清晰有效</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实验室消防通道通畅，公共场所、通道不堆放仪器、物品</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消防通道通畅</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eastAsia="等线"/>
                <w:szCs w:val="21"/>
              </w:rPr>
            </w:pPr>
            <w:r>
              <w:rPr>
                <w:rFonts w:hint="eastAsia" w:eastAsia="等线"/>
                <w:szCs w:val="21"/>
              </w:rPr>
              <w:t>5.1.5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实验楼大走廊在特殊情况下允许单边放置冰箱等设备（需加锁），但必须保证留有大于2.0米净宽的消防通道，需向学校报批；不得放置加热、机械运动设备</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查看现场、报批记录</w:t>
            </w:r>
          </w:p>
        </w:tc>
        <w:tc>
          <w:tcPr>
            <w:tcW w:w="362" w:type="dxa"/>
            <w:tcMar>
              <w:left w:w="45" w:type="dxa"/>
              <w:right w:w="45" w:type="dxa"/>
            </w:tcMar>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1143"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实验室门上有观察窗，外开门不阻挡逃生路径</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危险性实验室有观察窗，并且没有遮挡</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5.1.7</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所有房间均须有应急备用钥匙，集中存放、专人管理，应急时方便取用</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查看备用钥匙存放点</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实验室人均面积符合规定要求，其中理工农医类不小于2.5平方米/人，社科类不小于1.5平方米/人</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观察实验台与总面积</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eastAsia="等线"/>
                <w:szCs w:val="21"/>
              </w:rPr>
            </w:pPr>
            <w:r>
              <w:rPr>
                <w:rFonts w:eastAsia="等线"/>
                <w:szCs w:val="21"/>
              </w:rPr>
              <w:t>5.1.9</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实验室内不得随意搭建阁楼，操作区层高不低于2米</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1143"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5.1.10</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实验操作台应选用合格的防火、防腐材料</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实验台材料合格</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仪器设备安装符合建筑物承重载荷，必要时进行改造和加固</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关注大型质重的设备</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容易产生振动的设备，需考虑振动源的屏蔽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有必要的振动屏蔽措施</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易对外产生磁场或易受磁场干扰的设备，需做好磁屏蔽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有必要的磁屏蔽措施</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eastAsia="等线"/>
                <w:szCs w:val="21"/>
              </w:rPr>
              <w:t>5.1.14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照明良好，桌面光照度一般不小于150 LX</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照明良好</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eastAsia="等线"/>
                <w:szCs w:val="21"/>
              </w:rPr>
              <w:t>5.1.15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噪声一般低于55分贝（机械设备可低于70分贝）</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噪声达标</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eastAsia="等线"/>
                <w:szCs w:val="21"/>
              </w:rPr>
            </w:pPr>
            <w:r>
              <w:rPr>
                <w:rFonts w:hint="eastAsia" w:eastAsia="等线"/>
                <w:szCs w:val="21"/>
              </w:rPr>
              <w:t>5.1.16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有可燃气体的实验室不能设吊顶</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查看现场或实验室图片</w:t>
            </w:r>
          </w:p>
        </w:tc>
        <w:tc>
          <w:tcPr>
            <w:tcW w:w="362" w:type="dxa"/>
            <w:tcMar>
              <w:left w:w="45" w:type="dxa"/>
              <w:right w:w="45" w:type="dxa"/>
            </w:tcMar>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1143"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eastAsia="等线"/>
                <w:szCs w:val="21"/>
              </w:rPr>
            </w:pPr>
            <w:r>
              <w:rPr>
                <w:rFonts w:hint="eastAsia" w:eastAsia="等线"/>
                <w:szCs w:val="21"/>
              </w:rPr>
              <w:t>5.1.17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实验室内已废弃不用的配电箱、插座、水管水龙头、网线、气体管路等，应及时拆除或封闭</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388" w:type="dxa"/>
            <w:vAlign w:val="center"/>
          </w:tcPr>
          <w:p>
            <w:pPr>
              <w:widowControl/>
              <w:spacing w:line="300" w:lineRule="exact"/>
              <w:jc w:val="center"/>
              <w:rPr>
                <w:bCs/>
                <w:szCs w:val="21"/>
              </w:rPr>
            </w:pPr>
          </w:p>
        </w:tc>
        <w:tc>
          <w:tcPr>
            <w:tcW w:w="1143"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b/>
                <w:kern w:val="0"/>
                <w:szCs w:val="21"/>
              </w:rPr>
              <w:t>5.</w:t>
            </w:r>
            <w:r>
              <w:rPr>
                <w:rFonts w:hint="eastAsia"/>
                <w:b/>
                <w:kern w:val="0"/>
                <w:szCs w:val="21"/>
              </w:rPr>
              <w:t>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eastAsia="等线"/>
                <w:kern w:val="0"/>
                <w:szCs w:val="21"/>
              </w:rPr>
            </w:pPr>
            <w:r>
              <w:rPr>
                <w:rFonts w:eastAsia="等线"/>
                <w:szCs w:val="21"/>
              </w:rPr>
              <w:t>5.2.1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实验室水、电、气管线布局合理，选用合格产品，安装施工规范</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管线布局合理</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采用管道供气的实验室，输气管道及阀门无破损现象，并有明确标识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供气管道有标识，无破损</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高温、明火设备放置位置与可燃气体管道有安全间隔距离</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可燃气管道远离高温、明火</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5.</w:t>
            </w:r>
            <w:r>
              <w:rPr>
                <w:rFonts w:hint="eastAsia"/>
                <w:b/>
                <w:kern w:val="0"/>
                <w:szCs w:val="21"/>
              </w:rPr>
              <w:t>3</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eastAsia="等线"/>
                <w:kern w:val="0"/>
                <w:szCs w:val="21"/>
              </w:rPr>
            </w:pPr>
            <w:r>
              <w:rPr>
                <w:rFonts w:eastAsia="等线"/>
                <w:szCs w:val="21"/>
              </w:rPr>
              <w:t>5.3.1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有毒有害实验区与学习区明确分开，布局合理；实验区不准饮食</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重点关注化学、生物类实验室，分区布局合理</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5.3.2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实验室物品摆放有序，卫生状况良好；实验完毕物品归位</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整洁卫生有序</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5.3.3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不存在门开着而无人的现象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人员要在岗</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5.3.4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无废弃物品（如纸板箱、废电脑、破仪器、破家具等）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hint="eastAsia" w:eastAsia="等线"/>
                <w:szCs w:val="21"/>
              </w:rPr>
              <w:t>5.3.5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实验室有卫生安全值日表，有执行记录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查看记录表</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5.4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eastAsia="等线"/>
                <w:kern w:val="0"/>
                <w:szCs w:val="21"/>
              </w:rPr>
            </w:pPr>
            <w:r>
              <w:rPr>
                <w:rFonts w:eastAsia="等线"/>
                <w:szCs w:val="21"/>
              </w:rPr>
              <w:t>5.4.1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实验室房间号编号规则有序，屋顶天花板安全固定、地面平整</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5.4.2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危险性实验室配备了急救药箱，药箱不上锁、药品在保质期内</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不同类实验室的应急药品不同；机电类等实验室可以按楼层配备</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实验室内不放无关物品，如电动车、自行车等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5.4.4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实验室内不存放或烧煮食物、饮食，无吸烟现象</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有无烹饪工具、食物、吸烟痕迹</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5.4.5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不得在实验室内睡觉过夜</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有无席子、被褥等</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eastAsia="等线"/>
                <w:szCs w:val="21"/>
              </w:rPr>
              <w:t>5.4.6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化学、生物类实验室不得使用可燃性蚊香。其它实验室如需使用，必须采用金属底盘的</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rFonts w:eastAsia="等线"/>
                <w:szCs w:val="21"/>
              </w:rPr>
            </w:pPr>
            <w:r>
              <w:rPr>
                <w:rFonts w:hint="eastAsia" w:eastAsia="等线"/>
                <w:szCs w:val="21"/>
              </w:rPr>
              <w:t>5</w:t>
            </w:r>
            <w:r>
              <w:rPr>
                <w:rFonts w:eastAsia="等线"/>
                <w:szCs w:val="21"/>
              </w:rPr>
              <w:t>.4.7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废弃不用的实验室，需明确责任落实安全防范措施；具有危险隐患的实验室及设备在拆除前必须做好安全论证，并认真实施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查看现场与资料</w:t>
            </w:r>
          </w:p>
        </w:tc>
        <w:tc>
          <w:tcPr>
            <w:tcW w:w="362" w:type="dxa"/>
            <w:tcMar>
              <w:left w:w="45" w:type="dxa"/>
              <w:right w:w="45" w:type="dxa"/>
            </w:tcMar>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388" w:type="dxa"/>
            <w:vAlign w:val="center"/>
          </w:tcPr>
          <w:p>
            <w:pPr>
              <w:spacing w:line="300" w:lineRule="exact"/>
              <w:jc w:val="center"/>
              <w:rPr>
                <w:bCs/>
                <w:szCs w:val="21"/>
              </w:rPr>
            </w:pPr>
          </w:p>
        </w:tc>
        <w:tc>
          <w:tcPr>
            <w:tcW w:w="1143"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14541"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14541"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具有潜在火灾危险的实验室内应配备合适的灭火设备（烟感报警器、灭火器、 灭火毯、消防沙桶、消防喷淋等），正常有效、方便取用</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灭火器种类适合；公共区域灭火器数量（间距）与实验室安全等级相适应</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灭火器在有效期内（压力指针位置正常等），安全销（拉针）正常，瓶身无破损、腐蚀</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在显著位置张贴有紧急逃生疏散路线图，图上逃生路线有二条以上；路线与现场情况符合</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主要逃生路径（室内、楼梯、通道和出口处）有足够的紧急照明灯，功能正常</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定期开展消防设备、灭火器的使用训练；熟悉紧急疏散路线及火场逃生注意事项</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查看记录、现场提问</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b/>
                <w:kern w:val="0"/>
                <w:szCs w:val="21"/>
              </w:rPr>
            </w:pPr>
            <w:r>
              <w:rPr>
                <w:rFonts w:asciiTheme="minorEastAsia" w:hAnsiTheme="minorEastAsia" w:eastAsiaTheme="minorEastAsia"/>
                <w:b/>
                <w:kern w:val="0"/>
                <w:szCs w:val="21"/>
              </w:rPr>
              <w:t>6.2</w:t>
            </w:r>
          </w:p>
        </w:tc>
        <w:tc>
          <w:tcPr>
            <w:tcW w:w="14541"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6.2.1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存在可能受到化学和生物伤害的实验区域，需配置应急喷淋和洗眼装置，走廊有显著引导标识</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应急喷淋安装地点与工作区域之间畅通，距离不超过30米；应急喷淋安装位置合适，拉杆位置合适、方向正确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拉杆往下拉出水；在走廊安装可以没有下水道</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应急喷淋装置水管总阀处常开状，喷淋头下方无障碍物；不能以普通淋浴装置代替应急喷淋装置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6.2.4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洗眼装置接入生活用水管道，水量水压适中（喷出高度8-10cm），水流畅通平稳</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不得接消防用水</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6.2.5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定期维护应急喷淋与洗眼装置，并有检查记录（每月启动一次阀门，时刻保证管内流水畅通）；每周擦拭洗眼喷头</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查看维护记录、无锈水脏水</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b/>
                <w:kern w:val="0"/>
                <w:szCs w:val="21"/>
              </w:rPr>
            </w:pPr>
            <w:r>
              <w:rPr>
                <w:rFonts w:asciiTheme="minorEastAsia" w:hAnsiTheme="minorEastAsia" w:eastAsiaTheme="minorEastAsia"/>
                <w:b/>
                <w:kern w:val="0"/>
                <w:szCs w:val="21"/>
              </w:rPr>
              <w:t>6.3</w:t>
            </w:r>
          </w:p>
        </w:tc>
        <w:tc>
          <w:tcPr>
            <w:tcW w:w="14541"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有需要的实验场所配备符合要求的通风系统，管道风机需防腐，使用可燃气体场所应采用防爆风机</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实验室通风系统运行正常，柜口面风速0.35-0.75 m/s，定期进行维护、检修有记录；屋顶风机固定无松动、无异常噪声</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现场风速测定、查阅记录</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根据需要在通风橱管路上安装有毒有害气体的吸附或处理装置（如活性炭、光催化分解、水喷淋等）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任何可能产生高浓度有害气体而导致个人曝露、或产生可燃、可爆炸气体或蒸汽而导致积聚的实验，都应在通风橱内进行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进行实验时，可调玻璃视窗开至据台面10-15cm，保持通风效果，并保护操作人员胸部以上部位</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现场查看，玻璃视窗材料应是钢化玻璃</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实验人员在通风橱进行实验时，避免将头伸入调节门内；不将一次性手套或较轻的塑料袋等留在通风橱内，以免堵塞排风口</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通风橱内应避免放置过多物品、器材，以免干扰空气的正常流动；通风橱内放置物品应距离调节门内侧15cm左右，以免掉落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涉及易燃易爆有机试剂的通风橱内不得安装电源插座</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9</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配备通风罩等的实验场所，换气扇、风机使用正常</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出口是否堵塞</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b/>
                <w:kern w:val="0"/>
                <w:szCs w:val="21"/>
              </w:rPr>
            </w:pPr>
            <w:r>
              <w:rPr>
                <w:rFonts w:asciiTheme="minorEastAsia" w:hAnsiTheme="minorEastAsia" w:eastAsiaTheme="minorEastAsia"/>
                <w:b/>
                <w:kern w:val="0"/>
                <w:szCs w:val="21"/>
              </w:rPr>
              <w:t>6.4</w:t>
            </w:r>
          </w:p>
        </w:tc>
        <w:tc>
          <w:tcPr>
            <w:tcW w:w="14541"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6.4.1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在剧毒品、病原微生物，特种设备和放射源存放点等重点场所安装门禁和监控设施，运转正常，有专人管理</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6.4.2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监控不留死角，图像清晰，人员出入记录可查，视频记录存储时间大于1个月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实验室采用门禁系统的，与实验室准入制度相匹配</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6.4.4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停电时，电子门禁系统应是开启状态</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388" w:type="dxa"/>
            <w:vAlign w:val="center"/>
          </w:tcPr>
          <w:p>
            <w:pPr>
              <w:widowControl/>
              <w:spacing w:line="300" w:lineRule="exact"/>
              <w:jc w:val="center"/>
              <w:rPr>
                <w:rFonts w:asciiTheme="minorEastAsia" w:hAnsiTheme="minorEastAsia" w:eastAsiaTheme="minorEastAsia"/>
                <w:bCs/>
                <w:kern w:val="0"/>
                <w:szCs w:val="21"/>
              </w:rPr>
            </w:pPr>
          </w:p>
        </w:tc>
        <w:tc>
          <w:tcPr>
            <w:tcW w:w="1143"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6.5</w:t>
            </w:r>
          </w:p>
        </w:tc>
        <w:tc>
          <w:tcPr>
            <w:tcW w:w="14541"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6.5.1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防爆实验室需符合防爆设计要求，安装防爆开关、防爆灯等，安装必要的气体报警系统、监控系统及断电断水应急系统等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388" w:type="dxa"/>
            <w:vAlign w:val="center"/>
          </w:tcPr>
          <w:p>
            <w:pPr>
              <w:widowControl/>
              <w:spacing w:line="300" w:lineRule="exact"/>
              <w:jc w:val="center"/>
              <w:rPr>
                <w:rFonts w:asciiTheme="minorEastAsia" w:hAnsiTheme="minorEastAsia" w:eastAsiaTheme="minorEastAsia"/>
                <w:szCs w:val="21"/>
              </w:rPr>
            </w:pPr>
          </w:p>
        </w:tc>
        <w:tc>
          <w:tcPr>
            <w:tcW w:w="388" w:type="dxa"/>
            <w:vAlign w:val="center"/>
          </w:tcPr>
          <w:p>
            <w:pPr>
              <w:widowControl/>
              <w:spacing w:line="300" w:lineRule="exact"/>
              <w:jc w:val="center"/>
              <w:rPr>
                <w:rFonts w:asciiTheme="minorEastAsia" w:hAnsiTheme="minorEastAsia" w:eastAsiaTheme="minorEastAsia"/>
                <w:szCs w:val="21"/>
              </w:rPr>
            </w:pPr>
          </w:p>
        </w:tc>
        <w:tc>
          <w:tcPr>
            <w:tcW w:w="1143"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6.5.2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对于产生可燃气体或蒸气的装置，应在其进、出口处安装阻火器。室内应加强通风，以使爆炸物浓度控制在爆炸下限值以下</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388" w:type="dxa"/>
            <w:vAlign w:val="center"/>
          </w:tcPr>
          <w:p>
            <w:pPr>
              <w:widowControl/>
              <w:spacing w:line="300" w:lineRule="exact"/>
              <w:jc w:val="center"/>
              <w:rPr>
                <w:rFonts w:asciiTheme="minorEastAsia" w:hAnsiTheme="minorEastAsia" w:eastAsiaTheme="minorEastAsia"/>
                <w:szCs w:val="21"/>
              </w:rPr>
            </w:pPr>
          </w:p>
        </w:tc>
        <w:tc>
          <w:tcPr>
            <w:tcW w:w="388" w:type="dxa"/>
            <w:vAlign w:val="center"/>
          </w:tcPr>
          <w:p>
            <w:pPr>
              <w:widowControl/>
              <w:spacing w:line="300" w:lineRule="exact"/>
              <w:jc w:val="center"/>
              <w:rPr>
                <w:rFonts w:asciiTheme="minorEastAsia" w:hAnsiTheme="minorEastAsia" w:eastAsiaTheme="minorEastAsia"/>
                <w:szCs w:val="21"/>
              </w:rPr>
            </w:pPr>
          </w:p>
        </w:tc>
        <w:tc>
          <w:tcPr>
            <w:tcW w:w="1143"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6.5.3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对于有爆炸危险性的仪器设备，应使用合适的安全罩防护。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388" w:type="dxa"/>
            <w:vAlign w:val="center"/>
          </w:tcPr>
          <w:p>
            <w:pPr>
              <w:widowControl/>
              <w:spacing w:line="300" w:lineRule="exact"/>
              <w:jc w:val="center"/>
              <w:rPr>
                <w:rFonts w:asciiTheme="minorEastAsia" w:hAnsiTheme="minorEastAsia" w:eastAsiaTheme="minorEastAsia"/>
                <w:szCs w:val="21"/>
              </w:rPr>
            </w:pPr>
          </w:p>
        </w:tc>
        <w:tc>
          <w:tcPr>
            <w:tcW w:w="388" w:type="dxa"/>
            <w:vAlign w:val="center"/>
          </w:tcPr>
          <w:p>
            <w:pPr>
              <w:widowControl/>
              <w:spacing w:line="300" w:lineRule="exact"/>
              <w:jc w:val="center"/>
              <w:rPr>
                <w:rFonts w:asciiTheme="minorEastAsia" w:hAnsiTheme="minorEastAsia" w:eastAsiaTheme="minorEastAsia"/>
                <w:szCs w:val="21"/>
              </w:rPr>
            </w:pPr>
          </w:p>
        </w:tc>
        <w:tc>
          <w:tcPr>
            <w:tcW w:w="1143"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7</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kern w:val="0"/>
                <w:szCs w:val="21"/>
              </w:rPr>
              <w:t>7.1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7.1.1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实验室电容量、插头插座与用电设备功率需匹配，不得私自改装；电源插座须固定</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用电功率匹配</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实验室和电气设备应配备空气开关和漏电保护器，且应满足负荷和分断要求</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现场查看 </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不私自乱拉乱接电线电缆，不使用老化的线缆、花线和木质配电板</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禁止多个接线板串接供电，接线板不宜直接置于地面</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大功率仪器（包括空调等）使用专用插座（不可使用接线板），用电负荷满足要求；长期不用时，应切断电源</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无人监管状态下，应切断充电器（宝）的充电电源</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有提醒标志</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电源插座不宜安装在水槽边，若确有需要，应增设防护挡板或防护罩</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电线接头绝缘可靠，无裸露连接线，地面上的线缆应有盖板或护套</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.1.10</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配电柜/箱无物品遮挡并便于操作；配电箱、开关、插座等周围无易燃易爆物品堆放</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.1.11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插座、插头、接线板为国家质量认证的合格产品，无烧焦变形、破损现象</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.1.12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易燃易爆气体等特殊实验室的电器线路和用电装置应按相关规定使用防爆电气线路和装置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7.1.13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易积水的实验场所，取消地面插座；积水时，地插须断电</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7.1.14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实验结束，切断电源</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7.2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.2.1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水槽、地漏及下水道畅通，水龙头、上下水管无破损</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.2.2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各类连接管无老化破损（特别是冷却冷凝系统的橡胶管接口处）</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无自来水龙头开着时人离开的现象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有提醒标志</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7.2.4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实验技术人员清楚所在楼层及实验室的各级水管总阀位置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询问实验人员</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7.3</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.3.1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凡进入实验室人员需穿着质地合适的长袖实验服或防护服</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查看发放登记纪录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7.3.2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按需要佩戴防护眼镜（如进行化学实验、有危险的机械操作等）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查看发放纪录、并询问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7.3.3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进行化学、生物安全和高温实验时，不得佩戴隐形眼镜</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现场查看、询问 </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特殊场所按需佩戴安全帽、防护帽，长发不散露在外。操作机床等旋转设备时，不穿戴长围巾、丝巾、领带等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有提醒标志</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按需要佩戴防护手套（涉及不同的有害化学物质、病原微生物、高温和低温等），并正确选择不同种类和材质的手套</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现场查看、询问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7.3.6</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在特殊的实验室配备和使用呼吸器或面罩（如有挥发性毒物、溅射危险等），并正确选择种类；呼吸器或面罩在有效期内，不用时须密封放置</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现场查看、询问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7.3.7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防化服等个人防护器具分散存放在安全场所，并有明显标识，紧急情况下便于取用</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查看标识 </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7.3.8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各类个人防护器具的使用有培训及定期检查维护记录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检查培训及维护记录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7.4.1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危险性实验（如高温、高压、高速运转等）时必须有两人在场</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查看实验纪录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7.4.2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实验时不能脱岗，通宵实验须两人在场并有事先审批制度</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检查审批制度及记录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穿着化学、生物类实验服或带实验手套，不得随意出入非实验区（如会议室、办公室、休息室、餐厅、电梯等）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7.4.4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实验结束后物品归位，保持桌面整洁</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查看实验台面是否整洁</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7.4.5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手机、银行卡、校园卡等物品不得带入高磁场实验室</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查看提醒标识</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7.4.6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实验记录规范、清晰</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检查实验记录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8</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8.1</w:t>
            </w:r>
          </w:p>
        </w:tc>
        <w:tc>
          <w:tcPr>
            <w:tcW w:w="14541"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shd w:val="clear" w:fill="DAE3F3" w:themeFill="accent5" w:themeFillTint="32"/>
              </w:rPr>
              <w:t>一般危险化学品要向具有危化品生产经营许可资质的单位购买</w:t>
            </w:r>
          </w:p>
        </w:tc>
        <w:tc>
          <w:tcPr>
            <w:tcW w:w="3582" w:type="dxa"/>
            <w:vMerge w:val="restart"/>
            <w:shd w:val="clear" w:color="auto" w:fill="auto"/>
            <w:tcMar>
              <w:left w:w="45" w:type="dxa"/>
              <w:right w:w="45" w:type="dxa"/>
            </w:tcMar>
            <w:vAlign w:val="center"/>
          </w:tcPr>
          <w:p>
            <w:pPr>
              <w:keepNext w:val="0"/>
              <w:keepLines w:val="0"/>
              <w:pageBreakBefore w:val="0"/>
              <w:widowControl/>
              <w:shd w:val="clear" w:fill="FF0000"/>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查看相关供应商的行政许可资质证书复印件；</w:t>
            </w:r>
          </w:p>
          <w:p>
            <w:pPr>
              <w:keepNext w:val="0"/>
              <w:keepLines w:val="0"/>
              <w:pageBreakBefore w:val="0"/>
              <w:widowControl/>
              <w:shd w:val="clear" w:fill="FF0000"/>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查看向上级主管部门的报批记录和学校审批记录；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FF0000"/>
            <w:tcMar>
              <w:left w:w="45" w:type="dxa"/>
              <w:right w:w="45" w:type="dxa"/>
            </w:tcMar>
            <w:vAlign w:val="center"/>
          </w:tcPr>
          <w:p>
            <w:pPr>
              <w:widowControl/>
              <w:spacing w:line="300" w:lineRule="exact"/>
              <w:jc w:val="center"/>
              <w:rPr>
                <w:kern w:val="0"/>
                <w:szCs w:val="21"/>
              </w:rPr>
            </w:pPr>
            <w:r>
              <w:rPr>
                <w:rFonts w:hint="eastAsia"/>
                <w:kern w:val="0"/>
                <w:szCs w:val="21"/>
              </w:rPr>
              <w:t>8.1.2</w:t>
            </w:r>
          </w:p>
        </w:tc>
        <w:tc>
          <w:tcPr>
            <w:tcW w:w="8678"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剧毒品、易制毒品、易制爆品、爆炸品购买前须经学校审批，报公安部门批准或备案后，向具有经营许可资质的单位购买。校职能部门保留资料、建立档案。不得私自从外单位获取管控化学品</w:t>
            </w:r>
          </w:p>
        </w:tc>
        <w:tc>
          <w:tcPr>
            <w:tcW w:w="3582" w:type="dxa"/>
            <w:vMerge w:val="continue"/>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麻醉药品、精神药品等购买前须向食品药品监督管理部门申请，报批同意后向定点供应商或者定点生产企业采购</w:t>
            </w:r>
          </w:p>
        </w:tc>
        <w:tc>
          <w:tcPr>
            <w:tcW w:w="3582" w:type="dxa"/>
            <w:vMerge w:val="continue"/>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8.1.4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购买危险化学品应有规范的验收记录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查看验收记录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8.1.5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保障化学品、气体运输安全；校园内的运输车辆、运送人员、送货方式等符合相关规范</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查看资料，现场抽查</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8.2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8.2.1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有实验室内化学品的动态使用台帐；建立本实验室危险化学品目录，并有危险化学品安全技术说明书（MSDS）或安全周知卡，方便查阅</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w:t>
            </w:r>
            <w:r>
              <w:rPr>
                <w:kern w:val="0"/>
                <w:szCs w:val="21"/>
              </w:rPr>
              <w:t>.2.2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应有专用于存放试剂药品的空间（储藏室、储藏区、储存柜等），应通风、隔热、避光、安全；有机溶剂储存区应远离热源和火源；易泄漏、易挥发的试剂保证充足的通风；试剂柜中不能有电源插座或接线板</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查看现场，注意避免储存区近处有火源、热源</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化学品有序分类存放；配备必要的二次泄漏防护、吸附或防溢流功能；试剂不得叠放、配伍禁忌化学品不得混存、固体液体不混乱放置、装有试剂的试剂瓶不得开口放置；实验台架无挡板不得存放化学试剂</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查看储存柜、冰箱、实验台等，柜子门上或墙上粘贴清单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8.2.4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实验室内存放的危险化学品总量原则上不应超过100L或100kg，其中易燃易爆性化学品的存放总量不应超过50L 或50kg，且单一包装容器不应大于20L或20kg</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查看现场，按50平米为标准，存放量以实验室面积比考察</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8.2.5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如单个实验装置存在10L以上甲类物质储罐，或20L以上乙类物质储罐，或50L以上丙类物质储罐，需加装泄露报警器及通风联动装置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8.2.6</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品包装物上应有符合规定的化学品标签；当化学品由原包装物转移或分装到其他包装物内时，转移或分装后的包装物应及时重新粘贴标识。化学品标签脱落、模糊、腐蚀后应及时补上，如不能确认，则以废弃化学品处置</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查看实验台、存储柜、冰箱等</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8.2.7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定期清理过期药品，无累积现象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查看台账与现场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8.3</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8.3.1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设计化学实验时，使用化学品应尽可能取向低毒、少量；强放热反应要从小规模开始，确认安全才能放大</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查看实验记录、询问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8.3.2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制定危险实验、危险化工工艺指导书，上墙或便于取阅；按照指导书进行实验</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是否有作业指导书</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8.3.3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建立针对特殊危险实验的应急预案，方便取阅；实验人员熟悉所涉及的危险性及应急处理措施</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现场查看、询问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8.3.4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控制系统工作正常</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8.3.5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对于产生有毒和异味废气的实验，在通风橱中进行，并在实验装置尾端配有气体吸收装置；配备合适有效的呼吸器</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查看现场，注意呼吸器是否失效（不用时需密封保存）</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8.3.</w:t>
            </w:r>
            <w:r>
              <w:rPr>
                <w:kern w:val="0"/>
                <w:szCs w:val="21"/>
              </w:rPr>
              <w:t>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从试剂瓶倾倒腐蚀性液体试剂后，瓶上无残液</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关注腐蚀性液体</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8.4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8.4.1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配备专门的保险柜并固定，实行双人双锁保管；对于具有高挥发性、低闪点的剧毒品应存放在具有防爆功能的冰箱内，并配备双锁；配备监控与报警装置</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查看储存场所、记录本。2名分别掌管了钥匙和密码的保管人同时到场时才能开启保险柜</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8.4.2</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执行双人收发、双人运输；应严格记录品种、规格以及购入、发放、退回的日期、单位及经手人、数量以及结存数量</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查看记录本，职能部门提供年度清单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8.4.3</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使用时有两人同时在场，且计量取用后立即放回保险柜，详细记载用途，双人签字</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查看实验记录、领用记录本</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8.4.4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建立规范的剧毒品处置流程，依规对残余、废弃的剧毒品或空瓶进行处置，双人签字</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查看记录本，由学校统一处置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8.5</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8.5.1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易制毒品分类存放、专人保管，做好领取、使用、处置记录；其中第一类易制毒品实行“五双”管理制度</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查看现场、记录本；职能部门提供年度清单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8.5.2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易制爆品分类存放、专人保管，做好领取、使用、处置记录</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查看现场、记录本；职能部门提供年度清单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8.5.3</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爆炸品单独隔离，限量存储，使用、销毁按照公安部门的要求执行</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查看现场、记录本；职能部门提供年度清单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8.5.4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麻醉品和精神类药品储存于专门的保险柜中，有规范的领取、使用、处置台账</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查看现场、记录本；职能部门提供年度清单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8.6</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从合格供应商处采购实验气体，建立气体钢瓶台帐</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危险气体钢瓶存放点须通风、远离热源、避免暴晒，地面平整干燥；配置气瓶柜或气瓶防倒链、防倒栏栅</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钢瓶不固定、有链子不用、用普通绳子当链子</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8.6.3</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涉及剧毒、易燃易爆气体的场所，配有通风设施和合适的监控报警装置等，张贴必要的安全警示标识</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气体监控报警装置品种及安装位置是否正确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存有大量惰性气体或液氮、CO2的较小密闭空间，需加装氧气含量报警表</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防止大量泄漏或蒸发导致缺氧</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独立的气体钢瓶室，通风、不混放、有监控、管路有编号、去向明确；有专人管理和记录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所有钢瓶颜色和字体清楚，有状态标识，有钢瓶定期检验合格标识（由供应商负责）；未使用的钢瓶有钢瓶帽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钢瓶中的气体是明确的，无过期钢瓶；确认“满、使用中、用完”三种状态</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8.6.7</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可燃性气体与氧气等助燃气体不混放</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8.6.8</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气体管路连接正确、有标识，管路材质选择合适，无破损或老化现象，定期进行气体泄漏检查；存在多条气体管路的房间须张贴详细的管路图</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查看现场，危险气体使用金属管；多用户使用同一钢瓶的，需有使用规则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8.6.9</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实验结束后，气体钢瓶总阀须关闭</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8.6.10</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无大量气体钢瓶堆放现象；每间实验室内存放的氧气和可燃气体不宜超过一瓶，其他气瓶的存放，应控制在最小需求量；气体钢瓶不得放在走廊、大厅等公共场所</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8.6.11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不能带着减压阀移动钢瓶、不得在地上滚动钢瓶</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8.7</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8.7.1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与有资质的处置单位（企业）签约处置化学废弃物</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查看委托合同及处置单位的资质</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8.7.2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学校有统一的化学实验废弃物标签，包含废物类别、危险特性、主要成分、产生部门、送储人、日期等信息</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学校是否有统一的标签并且正常使用</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8.7.3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配备了化学实验废弃物分类容器，对化学废弃物进行分类收集与存放（应避免易产生剧烈反应的废弃物混放）、贴好标签，盖子不敞开；实验室内无大量存放现象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实验废弃物存放点位置合适无干扰、标签信息清晰、大桶存放时不能超过容量的2/3</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8.7.4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对于危险性大的废弃物，要独立包装，标签信息明确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不能混合，尽量原瓶装，加贴废弃物标签</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8.7.5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化学废弃物包装严密，及时送学校中转站或收集点；学校定时清运化学实验废弃物，无室外堆放实验废弃物现象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8.7.6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化学实验固体废物和生活垃圾不混放，不向下水道倾倒废旧化学试剂和废液</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查看垃圾桶（有标签）、现场询问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8.7.7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锐器废物盛放在纸板箱等不易被刺穿的容器中</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8.8</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8.8.1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学校有危险品仓库、化学实验废弃物中转站，须有通风、隔热、避光、防盗、防爆、防静电、泄露报警、应急喷淋、安全警示标识等管控措施，符合相关规定，专人管理</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独立仓库一般小于550m2，设施（含技防等）完备，不准设立于地下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8.8.2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消防设施符合国家相关规定，正确配备灭火器材（如灭火器、灭火毯、沙箱、自动喷淋等）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有机试剂房间不能用水喷淋</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8.8.3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若是实验楼内暂存库，必须有警示、通风、隔热、避光、防盗、防爆、防静电、泄露报警、应急喷淋等管控措施，面积小于30m2；暂存库不能在地下室空间</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8.8.4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化学品、废弃物分类区域明确，规范放置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不混放、整箱试剂的叠加高度不大于1.5米</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8.8.5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建立进出库台账</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查看台账</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8.9</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学校有统一的试剂标签（用于配置试剂、合成品、样品等），信息包括名称、浓度、责任人、日期、储存条件等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是否有、是否都使用了</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装有配置试剂、合成品、样品等容器上标签信息明确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信息不缺项</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盛放配置试剂、合成品等的烧杯、烧瓶不得无盖放置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无使用饮料瓶存放试剂、样品的现象。如确需存放，必须撕去原包装纸，贴上统一的试剂标签</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原标签纸未撕去的空试剂瓶中不存放其它化学品</w:t>
            </w:r>
            <w:r>
              <w:rPr>
                <w:rFonts w:hint="eastAsia"/>
                <w:kern w:val="0"/>
                <w:sz w:val="18"/>
                <w:szCs w:val="18"/>
              </w:rPr>
              <w:t>（如确实有需要，务必贴上所装存试剂信息的新标签）</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试剂瓶标签上不得随意写字后装其它试剂</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8.9.6</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用于浸泡玻璃器皿的酸缸、碱缸等有盖子盖上、标签明确</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桶和盖子上都有标签</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不使用破损量筒、试管等玻璃器皿</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8.9.8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化学实验室内有吸液（油）棉/条带、液体泄漏吸附剂等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9</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9.1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9.1.1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开展病原微生物实验研究的实验室，须具备相应的安全等级资质。其中BSL-3/ABSL-3、BSL-4/ABSL-4实验室须经政府部门批准建设；BSL-1/ ABSL-1、BSL-2/ ABSL-2 实验室由学校建设后报政府卫生或农业部门备案</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查看资格证书、报备资料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开展病原微生物实验须向卫生或农业主管部门申报备案</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查看报备资料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9.1.3</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开展未经灭活的高致病性病原微生物（列入一类、二类）相关实验和研究，必须在BSL-3/ABSL-3、BSL-4/ABSL-4实验室中进行</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查看实验记录</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9.1.4</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开展低致病性病原微生物（列入三类、四类），或经灭活的高致病性感染性材料的相关实验和研究，必须在BSL-1/ ABSL-1、BSL-2/ ABSL-2或以上等级实验室中进行</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查看实验记录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9.2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9.2.1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实验室安全防范设施达到相应生物安全实验室要求，各区域分布合理、气压正常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查看现场及资料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BSL-2/ABSL-2及以上安全等级实验室须设门禁管理和准入制度</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准入制度上墙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9.2.3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储存病原微生物的场所或储柜配备防盗设施，并安装监控报警装置</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9.2.4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配有符合相应要求的II级生物安全柜，定期进行检测；B型生物安全柜需有正常通风系统</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查看种类、记录 </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9.2.5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配有压力蒸汽灭菌器，并定期监测灭菌效果，有安全操作规程上墙</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9.2.6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配备消防设施、应急供电（至少延时半小时），应急淋浴及洗眼装置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三</w:t>
            </w:r>
            <w:r>
              <w:rPr>
                <w:rFonts w:hint="eastAsia"/>
                <w:kern w:val="0"/>
                <w:sz w:val="18"/>
                <w:szCs w:val="18"/>
                <w:lang w:val="en-US" w:eastAsia="zh-CN"/>
              </w:rPr>
              <w:t>.</w:t>
            </w:r>
            <w:r>
              <w:rPr>
                <w:rFonts w:hint="eastAsia"/>
                <w:kern w:val="0"/>
                <w:sz w:val="18"/>
                <w:szCs w:val="18"/>
              </w:rPr>
              <w:t>四级实验室配备应急供电及应急淋浴设施</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9.2.7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传递窗功能正常、内部不存放物品</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9.2.8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安装了防虫纱窗、入口处有挡鼠板</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9.3</w:t>
            </w:r>
          </w:p>
        </w:tc>
        <w:tc>
          <w:tcPr>
            <w:tcW w:w="14541"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w:t>
            </w:r>
            <w:r>
              <w:rPr>
                <w:kern w:val="0"/>
                <w:szCs w:val="21"/>
              </w:rPr>
              <w:t>.3</w:t>
            </w:r>
            <w:r>
              <w:rPr>
                <w:rFonts w:hint="eastAsia"/>
                <w:kern w:val="0"/>
                <w:szCs w:val="21"/>
              </w:rPr>
              <w:t>.1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采购高致病性病原微生物菌（毒）种，须按照学校流程审批，报行业主管部门批准</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学校有相关规定、查记录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w:t>
            </w:r>
            <w:r>
              <w:rPr>
                <w:kern w:val="0"/>
                <w:szCs w:val="21"/>
              </w:rPr>
              <w:t>3</w:t>
            </w:r>
            <w:r>
              <w:rPr>
                <w:rFonts w:hint="eastAsia"/>
                <w:kern w:val="0"/>
                <w:szCs w:val="21"/>
              </w:rPr>
              <w:t>.2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采购病原微生物须从有资质的单位购买，具有相应合格证书</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查记录、查实物</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9.3.3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高致病性病原微生物的转移和运输需按规定报卫生和农业主管部门批准，并按相应的运输包装要求包装后转移和运输</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9.3.</w:t>
            </w:r>
            <w:r>
              <w:rPr>
                <w:kern w:val="0"/>
                <w:szCs w:val="21"/>
              </w:rPr>
              <w:t>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病原微生物菌（毒）种保存在带锁冰箱或柜子中，高致病性病原微生物实行双人双锁管理</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有病原微生物菌（毒）种保存、实验使用、销毁的记录</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FF0000"/>
            <w:tcMar>
              <w:left w:w="45" w:type="dxa"/>
              <w:right w:w="45" w:type="dxa"/>
            </w:tcMar>
            <w:vAlign w:val="center"/>
          </w:tcPr>
          <w:p>
            <w:pPr>
              <w:widowControl/>
              <w:spacing w:line="300" w:lineRule="exact"/>
              <w:jc w:val="center"/>
              <w:rPr>
                <w:kern w:val="0"/>
                <w:szCs w:val="21"/>
              </w:rPr>
            </w:pPr>
            <w:r>
              <w:rPr>
                <w:rFonts w:hint="eastAsia"/>
                <w:kern w:val="0"/>
                <w:szCs w:val="21"/>
              </w:rPr>
              <w:t>9.3.6</w:t>
            </w:r>
          </w:p>
        </w:tc>
        <w:tc>
          <w:tcPr>
            <w:tcW w:w="8678"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自行分离高致病性病原微生物，必须在相应安全等级的实验室中进行，并报卫生或农业主管部门批准，方可保存和开展实验，资料报学校备案</w:t>
            </w:r>
          </w:p>
        </w:tc>
        <w:tc>
          <w:tcPr>
            <w:tcW w:w="3582" w:type="dxa"/>
            <w:shd w:val="clear" w:color="auto" w:fill="FF0000"/>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查现场、查资料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9.4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9.4.1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开展病原微生物相关实验和研究的人员经过专业培训，考核合格，并取得证书</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检查存档资料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9.4.2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为从事高致病性病原微生物的工作人员提供适宜的医学评估，监测和治疗方案，并妥善保存相应的医学记录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有上岗前体检和离岗体检，长期工作有定期体检</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人员进出生物安全实验室，需登记</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查看记录本</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9.4.4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外来人员进入生物安全实验室需经负责人批准，并有相关的教育培训、安全防控措施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9.4.5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出现感冒发热等症状时，不得进行病原微生物实验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现场检查、询问学生</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9.4.6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生物安全实验室不准带入食品、饮品（水）、化妆品、处理隐形眼镜等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9.5</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制定并采用生物安全手册，方便取阅；有从事病原微生物相关实验活动的标准操作规范</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BSL-2 /ABSL-2及以上等级实验室，开展病原微生物的相关实验活动应有风险评估和应急预案，包括病原微生物及感染材料溢出和意外事故的书面操作程序</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在合适的生物安全柜中进行实验操作；不在超净工作台中进行病原微生物实验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安全操作高速离心机，小心防止离心管破损或盖子破损造成溢出或气溶胶散发</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查看现场、询问</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有开展病原微生物相关实验活动的记录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有合适的个人防护措施，并规范执行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禁止戴防护手套操作设施设备（包括仪器、冰箱、电脑、电话、开关、门窗、柜子抽屉等）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查看现场，办公室等区域不准带防护手套</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9.5.8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做危险性生物实验时，不接打电话</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9.6</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9.6.1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饲养实验动物的场所应有资质证书</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查看证书</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9.6.2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实验动物需从具有资质的单位购买，有合格证明</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9.6.3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用于解剖的实验动物须经过检验检疫合格</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查看采购检验记录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9.6.4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解剖实验动物时，必须做好个人安全防护</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9.6.5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动物实验结束后，经必要的灭菌、灭活处理，送学校中转站或收集点</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9.6.6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成立实验动物伦理委员会，保障动物权益</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查看文件</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9.7</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9.7.1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学校与有资质的单位签约处置生化废弃物，有交接记录</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查看合同、记录</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9.7.2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学校有生化固废中转站，符合相关规定</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9.7.3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学校有统一的生化实验废弃物标签</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有无统一标签，使用时填写信息完整</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9.7.4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配备了生化实验废弃物垃圾桶（一般内置黄色塑料袋），有标签；刀片、移液枪头等尖锐物应使用耐扎的利器盒/纸板箱盛放，送储时再装入黄色塑料袋，贴好标签。</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9.7.5</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涉及病原微生物的实验废弃物必须进行高温高压灭菌或化学浸泡处理，并有处置的记录。高致病性生物材料废弃物处置实现溯源追踪</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9.7.6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生物实验产生的EB胶毒性强，需集中存放、贴化学废弃物标签，及时送学校中转站或收集点</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9.7.7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生化实验废弃物不得混入生活垃圾桶，生活垃圾不得混入生化实验垃圾桶</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10</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10.1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10.1.1</w:t>
            </w:r>
          </w:p>
        </w:tc>
        <w:tc>
          <w:tcPr>
            <w:tcW w:w="8678"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涉源学校须取得“辐射安全许可证”，并按规定在放射性核素种类和用量以及射线种类许可范围内开展实验</w:t>
            </w:r>
          </w:p>
        </w:tc>
        <w:tc>
          <w:tcPr>
            <w:tcW w:w="3582" w:type="dxa"/>
            <w:shd w:val="clear" w:color="auto" w:fill="C5E0B3" w:themeFill="accent6" w:themeFillTint="66"/>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10.1.2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X射线类衍射仪等3类以上射线装置纳入许可证范畴，加强管理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涉源人员经过了专门培训，有《辐射安全与防护培训合格证书》（4年复训1次）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查看培训证书</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10.1.4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涉源人员按时参加放射性职业体检（2年1次），有健康档案</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查看体检报告</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10.1.5</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涉源人员进入实验场所须佩带个人剂量计；委托有资质单位按时进行剂量检测（3个月一次），有合格的个人剂量检测报告。剂量计平时不能放在实验室场所</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查看合同、检测报告</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10.2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10.2.1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辐照设施设备和2类以上射线装置具有能正常工作的安全连锁装置和报警装置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连锁装置与报警装置正常</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放射源储存库双门双控，并有安全报警系统（与公安部门联网）和视频监控系统</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查看现场、视频记录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涉源实验场所（放射性物质、X射线装置）有明显的安全警示标识、警戒线和剂量报警仪</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10.2.4</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涉源实验场所每年有合格的实验场所检测报告</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查看现场、检定证书、检测报告</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10.2.5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有专门存放放射性废弃物的容器和暂存库</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有准确的台帐</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10.2.6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非密封性放射性实验室有衰减池，或者有非密封性专门回收处置场所</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10.3</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10.3.1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放射源和放射性物质的采购和转让转移有学校及政府环保部门的审批备案材料。上述采购和转让转移前必须先做环境影响评价工作</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10.3.2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放射源和放射性物质的转移和运输有学校及公安部门的审批备案材料</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10.3.3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放射源、放射性物质以及3类以上射线装置变更及时登记</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查看台账</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10.4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10.4.1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Г辐照装置有符合国家相关规定的操作规程、安保方案及应急预案，并遵照执行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10.4.2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电子加速器等辐照装置有符合国家相关规定的操作规程、安保方案及应急预案，并遵照执行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射线探伤仪有符合国家相关规定的操作规程、安保方案及应急预案，并遵照执行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10.4.4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非密封性放射性实验操作有符合国家相关规定的操作规程，并遵照执行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查看资料、实验记录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10.4.5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5类以上的密封性放射性实验操作有符合国家相关规定的操作规程，并遵照执行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查看资料、实验记录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10.5</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10.5.1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报废含有放射源或可产生放射性的设备，需报学校管理部门同意，并按国家规定进行退役处置；X光管报废时应敲碎，拍照留存</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查看存档资料 </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10.5.2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中、长半衰期核素固液废弃物有符合国家相关规定的处置方案或回收协议，并有处置记录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10.5.3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短半衰期核素固液废弃物放置10个半衰期经检测达标后作为普通废物处理，并有处置记录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10.5.4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涉源实验场所退役，须按国家相关规定执行，完成后有政府部门同意退役及无限制开放使用的批复，或者有限开放使用的环境影响评价批复</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11.1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w:t>
            </w:r>
            <w:r>
              <w:rPr>
                <w:kern w:val="0"/>
                <w:szCs w:val="21"/>
              </w:rPr>
              <w:t>.1.1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建立了设备台帐，设备上有资产标签，实名制管理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查看电子或纸质台帐</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w:t>
            </w:r>
            <w:r>
              <w:rPr>
                <w:rFonts w:hint="eastAsia"/>
                <w:kern w:val="0"/>
                <w:szCs w:val="21"/>
              </w:rPr>
              <w:t>1</w:t>
            </w:r>
            <w:r>
              <w:rPr>
                <w:kern w:val="0"/>
                <w:szCs w:val="21"/>
              </w:rPr>
              <w:t>.1.2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大型仪器设备、高功率的设备与电路容量相匹配</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查看电源配电箱、地线</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仪器设备接地系统应按规范要求，采用铜质材料，且设计寿命不应低于50年</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接地电阻不高于0.5欧</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有大型、特种仪器设备运行、维护的记录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查看记录及维修、维护周期</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电脑、空调、电加热器、饮水机等不随意开机过夜</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检查相关规定</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大型、特种设备要有安全操作规程或注意事项明示</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有手册或规范明示牌</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对于不能断电的特殊仪器设备，采取了必要的防护措施</w:t>
            </w:r>
            <w:r>
              <w:rPr>
                <w:rFonts w:hint="eastAsia"/>
                <w:kern w:val="0"/>
                <w:sz w:val="18"/>
                <w:szCs w:val="18"/>
              </w:rPr>
              <w:t>（如双路供电、不间断电源、监控报警等）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昼夜工作的设备要有实时监控设施</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对于高温、高压、高速运动、电磁辐射等特殊设备，对使用者有培训要求，有安全警示标识和安全警示线（黄色），并配备相应安全防护设施</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检查培训记录、防护罩、防护栏、自屏蔽设施等</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w:t>
            </w:r>
            <w:r>
              <w:rPr>
                <w:rFonts w:hint="eastAsia"/>
                <w:kern w:val="0"/>
                <w:szCs w:val="21"/>
              </w:rPr>
              <w:t>1</w:t>
            </w:r>
            <w:r>
              <w:rPr>
                <w:kern w:val="0"/>
                <w:szCs w:val="21"/>
              </w:rPr>
              <w:t>.1.9</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对于超高速离心机，需要放置在离心室。在离心过程中，工作人员须保持安全距离</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检查是否有安全空间</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 w:val="18"/>
                <w:szCs w:val="18"/>
              </w:rPr>
            </w:pPr>
            <w:r>
              <w:rPr>
                <w:rFonts w:hint="eastAsia"/>
                <w:kern w:val="0"/>
                <w:sz w:val="18"/>
                <w:szCs w:val="18"/>
              </w:rPr>
              <w:t>11.1.10</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电子天平不放在阳光直射的地方，且用后及时清理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检查避光、遮光</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 w:val="18"/>
                <w:szCs w:val="18"/>
              </w:rPr>
            </w:pPr>
            <w:r>
              <w:rPr>
                <w:rFonts w:hint="eastAsia"/>
                <w:kern w:val="0"/>
                <w:sz w:val="18"/>
                <w:szCs w:val="18"/>
              </w:rPr>
              <w:t>11.1.11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自研自制设备时，须充分考虑安全系数，并有安全防护措施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查看现场、资料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11.2</w:t>
            </w:r>
          </w:p>
        </w:tc>
        <w:tc>
          <w:tcPr>
            <w:tcW w:w="14541"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11.2.1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高速切削机械操作，工作前穿好工作服，戴好防护眼镜，衣袖口应扣紧，长发学生戴好工作帽。工作场所禁戴手套、长围巾、领带、手镯等配饰物，禁穿拖鞋、高跟鞋等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检查操作提示、防护配置；有人操作时检查执行情况</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11.2.2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机床应保持清洁整齐；严禁在床头、床面、刀架上放一切物件</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检查机床整洁</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11.2.3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设备在运转时，严禁用手调整；禁止操作人员的身体任一部位进入危险区，如需调整应首先关停机械设备</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检查区域标示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11.2.4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实验前必须检查机械设备是否可靠接地，防止设备漏电以及在运行中产生静电引发人员触电</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检查接地，用电笔检查设备静电</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11.2.5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 w:val="18"/>
                <w:szCs w:val="18"/>
              </w:rPr>
            </w:pPr>
            <w:r>
              <w:rPr>
                <w:rFonts w:hint="eastAsia"/>
                <w:kern w:val="0"/>
                <w:sz w:val="18"/>
                <w:szCs w:val="18"/>
              </w:rPr>
              <w:t>实验结束后，应切断电源，整理好场地并将实验用具等摆放整齐，清理好机械设备产生的废渣、屑</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11.2.6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 w:val="18"/>
                <w:szCs w:val="18"/>
              </w:rPr>
            </w:pPr>
            <w:r>
              <w:rPr>
                <w:rFonts w:hint="eastAsia"/>
                <w:kern w:val="0"/>
                <w:sz w:val="18"/>
                <w:szCs w:val="18"/>
              </w:rPr>
              <w:t>锻压设备不得空打或大力敲打过薄锻件，锻造时锻件应达到850 C以上，锻锤空置时应垫有木块</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11.2.7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热处理加热电炉接地良好，金属物品不能触碰带电部位</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11.2.8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盐浴炉加热零件必须预先烘干，并用铁丝绑牢，缓慢放入炉中，以防盐液炸崩烫伤</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11.2.9</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淬火油槽不得有水，油量不能过少，以免发生火灾</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 w:val="18"/>
                <w:szCs w:val="18"/>
              </w:rPr>
            </w:pPr>
            <w:r>
              <w:rPr>
                <w:rFonts w:hint="eastAsia"/>
                <w:kern w:val="0"/>
                <w:sz w:val="18"/>
                <w:szCs w:val="18"/>
              </w:rPr>
              <w:t>11.2.10</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铸造实验场地宽敞、通道畅通，实验时穿好劳动保护服装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 w:val="18"/>
                <w:szCs w:val="18"/>
              </w:rPr>
            </w:pPr>
            <w:r>
              <w:rPr>
                <w:rFonts w:hint="eastAsia"/>
                <w:kern w:val="0"/>
                <w:sz w:val="18"/>
                <w:szCs w:val="18"/>
              </w:rPr>
              <w:t>11.2.11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与铁水接触的一切工具，使用前必须加热，严禁将冷的工具伸入铁水内，以免引起爆炸</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检查相关规定</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 w:val="18"/>
                <w:szCs w:val="18"/>
              </w:rPr>
            </w:pPr>
            <w:r>
              <w:rPr>
                <w:rFonts w:hint="eastAsia"/>
                <w:kern w:val="0"/>
                <w:sz w:val="18"/>
                <w:szCs w:val="18"/>
              </w:rPr>
              <w:t>11.2.12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机械加工等产生噪音的实验做好消音工作</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 w:val="18"/>
                <w:szCs w:val="18"/>
              </w:rPr>
            </w:pPr>
            <w:r>
              <w:rPr>
                <w:rFonts w:hint="eastAsia"/>
                <w:kern w:val="0"/>
                <w:sz w:val="18"/>
                <w:szCs w:val="18"/>
              </w:rPr>
              <w:t>11.2.13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2米以上高空临边、攀登作业，要穿防滑鞋、使用安全带，有相关安全操作规程</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检查工作现场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11.3</w:t>
            </w:r>
          </w:p>
        </w:tc>
        <w:tc>
          <w:tcPr>
            <w:tcW w:w="14541"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11.3.1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 xml:space="preserve">电气设备所用的保险丝(管)的额定电流应与其负荷容量相适应，无用其它金属线代替保险丝(片)现象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检查设备及要求</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11.3.2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各种电器设备及电线应始终保持干燥，防止浸湿，以防短路引起火灾或烧坏电气设备。</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检查室内机及设备配电</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11.3.3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强电类实验必须二人以上，操作时应戴绝缘手套</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检查实验要求、记录</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11.3.4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移动式电动工具及其开关板（箱）的电源线必须采用铜芯橡皮绝缘护套或铜芯聚氯乙烯绝缘护套软线</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检查装置</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11.3.5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试验室内的功能间墙面都应设有专用接地母排，并设有多点接地引出端</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检查装置</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11.3.6</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安全距离：10kV为0.7m；66kV为1.5m；220kV为3m；检查报警系统</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11.3.7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强电实验室禁止存放易燃、易爆、易腐品，保持通风散热；照明灯应从总开阀上端引出，必须配备干粉灭火器、黄砂箱、铁锹等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11.3.8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静电场所，要保持空气湿润，工作人员要穿防静电的衣服和鞋靴；禁止穿着化纤制品等服饰；禁止在充满可燃气体的环境中使用电动工具</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检查护具及提示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11.3.9</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应为设备配备残余电流泄放专用的接地系统，操作结束后用多股裸线可靠接地的放电棒对仪器进行充分放电</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检查试验要求</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 w:val="18"/>
                <w:szCs w:val="18"/>
              </w:rPr>
            </w:pPr>
            <w:r>
              <w:rPr>
                <w:rFonts w:hint="eastAsia"/>
                <w:kern w:val="0"/>
                <w:sz w:val="18"/>
                <w:szCs w:val="18"/>
              </w:rPr>
              <w:t>11.3.10</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断电操作时，在电源箱处有明显警示标识，以防他人随意合闸</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检查标识牌</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kern w:val="0"/>
                <w:sz w:val="18"/>
                <w:szCs w:val="18"/>
              </w:rPr>
            </w:pPr>
            <w:r>
              <w:rPr>
                <w:rFonts w:hint="eastAsia"/>
                <w:kern w:val="0"/>
                <w:sz w:val="18"/>
                <w:szCs w:val="18"/>
              </w:rPr>
              <w:t>11.3.11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电烙铁有专门搁架，用毕立即切断电源</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 w:val="18"/>
                <w:szCs w:val="18"/>
              </w:rPr>
            </w:pPr>
            <w:r>
              <w:rPr>
                <w:rFonts w:hint="eastAsia"/>
                <w:sz w:val="18"/>
                <w:szCs w:val="18"/>
              </w:rPr>
              <w:t>11.3.12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强磁设备应该配备与大地相连的金属屏蔽网</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11.4</w:t>
            </w:r>
          </w:p>
        </w:tc>
        <w:tc>
          <w:tcPr>
            <w:tcW w:w="14541"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11.4.1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有激光器的安全使用方法，有激光危害标识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检查提示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11.4.2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功率较大的激光器有互锁装置、防护罩；激光照射方向不会对他人造成伤害，防止激光发射口及反射镜上扬</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检查装置</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做好安全防护，操作人员穿戴防护眼镜等防护用品、不带手表等能反光的物品</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检查护具、提示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11.4.</w:t>
            </w:r>
            <w:r>
              <w:rPr>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禁止直视激光束和它的反向光束，禁止对激光器件做任何目视准直操作；禁止用眼睛检查激光器故障，激光器必须在断电情况下进行检查</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检查提示、现场询问</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11.5</w:t>
            </w:r>
          </w:p>
        </w:tc>
        <w:tc>
          <w:tcPr>
            <w:tcW w:w="14541"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11.5.1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实验室门窗框架应为金属材料制作，安全门应向外开启；应急疏散、救援通道应保持畅通，有明显禁火标识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11.5.2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检查装置</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11.5.3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检查装置</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11.5.4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产生粉尘实验场所，必须穿防静电棉质衣服，禁止穿化纤材料制作的衣服，工作时必须佩戴防尘口罩和护耳器</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11.5.5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配备与粉尘相适应的灭火装置，禁用干粉、水剂型和泡沫型灭火器</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灭火器在有效期内</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11.5.6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实验人员必须遵守安全操作规程，及时保养粉尘设施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规程上墙、检查提示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kern w:val="0"/>
                <w:szCs w:val="21"/>
              </w:rPr>
              <w:t>11.5.7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保证实验室（车间）粉尘浓度在爆炸下限以下</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粮食粉尘爆炸下限为40--200g/m3</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spacing w:line="300" w:lineRule="exact"/>
              <w:jc w:val="center"/>
              <w:rPr>
                <w:szCs w:val="21"/>
              </w:rPr>
            </w:pPr>
            <w:r>
              <w:rPr>
                <w:rFonts w:hint="eastAsia"/>
                <w:szCs w:val="21"/>
              </w:rPr>
              <w:t>11.5.8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粉尘浓度较高的场所，有加湿装置（喷雾）使湿度在65%以上</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12.1</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12.1</w:t>
            </w:r>
            <w:r>
              <w:rPr>
                <w:kern w:val="0"/>
                <w:szCs w:val="21"/>
              </w:rPr>
              <w:t>.1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额定起重量大于等于3t且提升高度大于等于2m的起重设备，须取得《特种设备使用登记证》</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低于额度限定值的可不办理《特种设备使用登记证》</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12.1</w:t>
            </w:r>
            <w:r>
              <w:rPr>
                <w:kern w:val="0"/>
                <w:szCs w:val="21"/>
              </w:rPr>
              <w:t>.2</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操作人员须取得《特种设备作业人员证》，持证上岗，并每4年复审一次</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证书是否在有效期</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12.1</w:t>
            </w:r>
            <w:r>
              <w:rPr>
                <w:kern w:val="0"/>
                <w:szCs w:val="21"/>
              </w:rPr>
              <w:t>.3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委托有资质单位进行定期检验，并将定期检验合格证置于特种设备显著位置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合格证是否在有效期内</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12.1</w:t>
            </w:r>
            <w:r>
              <w:rPr>
                <w:kern w:val="0"/>
                <w:szCs w:val="21"/>
              </w:rPr>
              <w:t>.</w:t>
            </w:r>
            <w:r>
              <w:rPr>
                <w:rFonts w:hint="eastAsia"/>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在用起重机械至少每月进行一次日常维护保养和自行检查，并作记录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12.1</w:t>
            </w:r>
            <w:r>
              <w:rPr>
                <w:kern w:val="0"/>
                <w:szCs w:val="21"/>
              </w:rPr>
              <w:t>.</w:t>
            </w:r>
            <w:r>
              <w:rPr>
                <w:rFonts w:hint="eastAsia"/>
                <w:kern w:val="0"/>
                <w:szCs w:val="21"/>
              </w:rPr>
              <w:t>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制定安全操作规程，并在周边醒目位置张贴警示标识，有必要的防护措施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12.1.6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起重设备声光报警正常，室内起重设备要标有运行通道</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试验声光报警器</w:t>
            </w:r>
          </w:p>
        </w:tc>
        <w:tc>
          <w:tcPr>
            <w:tcW w:w="362" w:type="dxa"/>
            <w:tcMar>
              <w:left w:w="45" w:type="dxa"/>
              <w:right w:w="45" w:type="dxa"/>
            </w:tcMar>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388" w:type="dxa"/>
            <w:vAlign w:val="center"/>
          </w:tcPr>
          <w:p>
            <w:pPr>
              <w:widowControl/>
              <w:spacing w:line="300" w:lineRule="exact"/>
              <w:jc w:val="center"/>
              <w:rPr>
                <w:b/>
                <w:bCs/>
                <w:kern w:val="0"/>
                <w:szCs w:val="21"/>
              </w:rPr>
            </w:pPr>
          </w:p>
        </w:tc>
        <w:tc>
          <w:tcPr>
            <w:tcW w:w="1143"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12.2</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12.2</w:t>
            </w:r>
            <w:r>
              <w:rPr>
                <w:kern w:val="0"/>
                <w:szCs w:val="21"/>
              </w:rPr>
              <w:t>.1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压力大于0.1MPa且容积大于30L的压力容器，须取得《特种设备使用登记证》和《压力容器登记卡》</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设备铭牌上标明为简单压力容器不需办理</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12.2</w:t>
            </w:r>
            <w:r>
              <w:rPr>
                <w:kern w:val="0"/>
                <w:szCs w:val="21"/>
              </w:rPr>
              <w:t>.2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操作人员持证上岗，取得《特种设备作业人员证》，并每4年复审一次</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《特种设备作业人员证》是否在有效期</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12.2</w:t>
            </w:r>
            <w:r>
              <w:rPr>
                <w:kern w:val="0"/>
                <w:szCs w:val="21"/>
              </w:rPr>
              <w:t>.3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委托有资质单位进行定期检验，并将定期检验合格证置于特种设备显著位置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合格证是否在有效期内</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12.2</w:t>
            </w:r>
            <w:r>
              <w:rPr>
                <w:kern w:val="0"/>
                <w:szCs w:val="21"/>
              </w:rPr>
              <w:t>.</w:t>
            </w:r>
            <w:r>
              <w:rPr>
                <w:rFonts w:hint="eastAsia"/>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安全阀或压力表等附件需委托有资质单位定期校验或检定</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12.2</w:t>
            </w:r>
            <w:r>
              <w:rPr>
                <w:kern w:val="0"/>
                <w:szCs w:val="21"/>
              </w:rPr>
              <w:t>.</w:t>
            </w:r>
            <w:r>
              <w:rPr>
                <w:rFonts w:hint="eastAsia"/>
                <w:kern w:val="0"/>
                <w:szCs w:val="21"/>
              </w:rPr>
              <w:t>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查看新的证书</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2.7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大型实验气体（窒息、可燃类）罐必须放置在室外，周围设置隔离装置、安全警示标识</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有隔离装置，坚固牢靠</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2.8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大型实验气体罐的存储场所应通风、干燥、防止雨（雪）淋、水浸，避免阳光直射，严禁明火和其它热源</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可燃性性气罐远离火源热源</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2.9</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存储可燃、爆炸性气体的气罐必须防爆，电器开关和熔断器都应设置在明显位置，同时应设避雷装置</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电气设施是否防爆，避雷装置是否接地</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 w:val="18"/>
                <w:szCs w:val="18"/>
              </w:rPr>
            </w:pPr>
            <w:r>
              <w:rPr>
                <w:rFonts w:hint="eastAsia"/>
                <w:kern w:val="0"/>
                <w:sz w:val="18"/>
                <w:szCs w:val="18"/>
              </w:rPr>
              <w:t>12.</w:t>
            </w:r>
            <w:r>
              <w:rPr>
                <w:kern w:val="0"/>
                <w:sz w:val="18"/>
                <w:szCs w:val="18"/>
              </w:rPr>
              <w:t>2.10</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制定大型气体罐管理制度和操作规程，落实维护、保养及安全责任制</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在明显处张贴操作规程、责任标牌</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 w:val="18"/>
                <w:szCs w:val="18"/>
              </w:rPr>
            </w:pPr>
            <w:r>
              <w:rPr>
                <w:rFonts w:hint="eastAsia"/>
                <w:kern w:val="0"/>
                <w:sz w:val="18"/>
                <w:szCs w:val="18"/>
              </w:rPr>
              <w:t>12.</w:t>
            </w:r>
            <w:r>
              <w:rPr>
                <w:kern w:val="0"/>
                <w:sz w:val="18"/>
                <w:szCs w:val="18"/>
              </w:rPr>
              <w:t>2.11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实行使用登记制度，及时填写“使用登记表”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使用登记表内容完整</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 w:val="18"/>
                <w:szCs w:val="18"/>
              </w:rPr>
            </w:pPr>
            <w:r>
              <w:rPr>
                <w:rFonts w:hint="eastAsia"/>
                <w:kern w:val="0"/>
                <w:sz w:val="18"/>
                <w:szCs w:val="18"/>
              </w:rPr>
              <w:t>12.</w:t>
            </w:r>
            <w:r>
              <w:rPr>
                <w:kern w:val="0"/>
                <w:sz w:val="18"/>
                <w:szCs w:val="18"/>
              </w:rPr>
              <w:t>2.12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定期检查大型实验气体罐外表涂色、腐蚀、变形、磨损、裂纹，附件是否齐全、完好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有检查表记录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rFonts w:hint="eastAsia"/>
                <w:b/>
                <w:kern w:val="0"/>
                <w:szCs w:val="21"/>
              </w:rPr>
              <w:t>12.3</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12.3</w:t>
            </w:r>
            <w:r>
              <w:rPr>
                <w:kern w:val="0"/>
                <w:szCs w:val="21"/>
              </w:rPr>
              <w:t>.1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取得《厂内机动车辆监督检验报告》</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12.3</w:t>
            </w:r>
            <w:r>
              <w:rPr>
                <w:kern w:val="0"/>
                <w:szCs w:val="21"/>
              </w:rPr>
              <w:t>.2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操作人员取得《特种设备作业人员证》，持证上岗</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证书在有效期内</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12.3</w:t>
            </w:r>
            <w:r>
              <w:rPr>
                <w:kern w:val="0"/>
                <w:szCs w:val="21"/>
              </w:rPr>
              <w:t>.3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委托有资质单位进行定期检验</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合格证在有效期内</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12.</w:t>
            </w:r>
            <w:r>
              <w:rPr>
                <w:rFonts w:hint="eastAsia"/>
                <w:b/>
                <w:kern w:val="0"/>
                <w:szCs w:val="21"/>
              </w:rPr>
              <w:t>4</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4.1</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贮存危险化学品的冰箱为防爆冰箱或经过防爆改造的冰箱，禁止使用无霜型冰箱储存易燃易爆试剂</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无防爆措施冰箱内不能放置易燃易爆化学品，冰箱门上应注明</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4.2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冰箱内存放的物品必须标识明确（包括品名、使用人、日期等），并经常清理，有清理记录</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查看冰箱及清理记录</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4.3</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冰箱内储存试剂必须密封好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螺口拧紧，无开口容器</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4.</w:t>
            </w:r>
            <w:r>
              <w:rPr>
                <w:rFonts w:hint="eastAsia"/>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冰箱不超期服役（一般使用期限控制为10年），如超期使用需经审批</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查看设备资产标签，如超期查看审批资料</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4.</w:t>
            </w:r>
            <w:r>
              <w:rPr>
                <w:rFonts w:hint="eastAsia"/>
                <w:kern w:val="0"/>
                <w:szCs w:val="21"/>
              </w:rPr>
              <w:t>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冰箱周围留出足够空间，周围不堆放杂物，影响散热</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左右及后部留10cm，上部最少30cm的距离</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4.</w:t>
            </w:r>
            <w:r>
              <w:rPr>
                <w:rFonts w:hint="eastAsia"/>
                <w:kern w:val="0"/>
                <w:szCs w:val="21"/>
              </w:rPr>
              <w:t>6</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实验室冰箱中不放置食品</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实验区和办公生活区严格区分</w:t>
            </w:r>
          </w:p>
        </w:tc>
        <w:tc>
          <w:tcPr>
            <w:tcW w:w="362" w:type="dxa"/>
            <w:tcMar>
              <w:left w:w="45" w:type="dxa"/>
              <w:right w:w="45" w:type="dxa"/>
            </w:tcMar>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388" w:type="dxa"/>
            <w:vAlign w:val="center"/>
          </w:tcPr>
          <w:p>
            <w:pPr>
              <w:widowControl/>
              <w:spacing w:line="300" w:lineRule="exact"/>
              <w:jc w:val="center"/>
              <w:rPr>
                <w:bCs/>
                <w:kern w:val="0"/>
                <w:szCs w:val="21"/>
              </w:rPr>
            </w:pPr>
          </w:p>
        </w:tc>
        <w:tc>
          <w:tcPr>
            <w:tcW w:w="1143"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12.5</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12.5</w:t>
            </w:r>
            <w:r>
              <w:rPr>
                <w:kern w:val="0"/>
                <w:szCs w:val="21"/>
              </w:rPr>
              <w:t>.1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烘箱、电阻炉不超期服役（一般使用期限控制为12年），如超期使用需经审批</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 w:val="18"/>
                <w:szCs w:val="18"/>
              </w:rPr>
              <w:t>查看设备资产标签，如超期查看审批资料</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12.5</w:t>
            </w:r>
            <w:r>
              <w:rPr>
                <w:kern w:val="0"/>
                <w:szCs w:val="21"/>
              </w:rPr>
              <w:t>.2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烘箱、电阻炉不使用接线板供电</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12.5</w:t>
            </w:r>
            <w:r>
              <w:rPr>
                <w:kern w:val="0"/>
                <w:szCs w:val="21"/>
              </w:rPr>
              <w:t>.3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不使用有故障、破损的烘箱、电阻炉；烘箱放置位置、高度合适，方便操作</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烘箱门的取用高度以人员不下蹲或不攀高为宜</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12.5</w:t>
            </w:r>
            <w:r>
              <w:rPr>
                <w:kern w:val="0"/>
                <w:szCs w:val="21"/>
              </w:rPr>
              <w:t>.</w:t>
            </w:r>
            <w:r>
              <w:rPr>
                <w:rFonts w:hint="eastAsia"/>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烘箱、电阻炉等加热设备应放置在通风干燥处，不直接放置在木桌、木板等易燃物品上，周围有一定的散热空间，设备边上不能放置易燃易爆化学品、气体钢瓶、冰箱、杂物等</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12.5</w:t>
            </w:r>
            <w:r>
              <w:rPr>
                <w:kern w:val="0"/>
                <w:szCs w:val="21"/>
              </w:rPr>
              <w:t>.</w:t>
            </w:r>
            <w:r>
              <w:rPr>
                <w:rFonts w:hint="eastAsia"/>
                <w:kern w:val="0"/>
                <w:szCs w:val="21"/>
              </w:rPr>
              <w:t>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烘箱、电阻炉等加热设备须制定安全操作规程，并在周边醒目位置张贴高温警示标识，并有必要的防护措施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张贴有安全操作规程、警示标识</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12.5</w:t>
            </w:r>
            <w:r>
              <w:rPr>
                <w:kern w:val="0"/>
                <w:szCs w:val="21"/>
              </w:rPr>
              <w:t>.</w:t>
            </w:r>
            <w:r>
              <w:rPr>
                <w:rFonts w:hint="eastAsia"/>
                <w:kern w:val="0"/>
                <w:szCs w:val="21"/>
              </w:rPr>
              <w:t>6</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使用烘箱、电阻炉等加热设备时有人值守（或10-15分钟检查一次），或有实时监控设施；使用中的烘箱、电阻炉要标识使用人姓名</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查看使用记录、在用标识 </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12.5</w:t>
            </w:r>
            <w:r>
              <w:rPr>
                <w:kern w:val="0"/>
                <w:szCs w:val="21"/>
              </w:rPr>
              <w:t>.</w:t>
            </w:r>
            <w:r>
              <w:rPr>
                <w:rFonts w:hint="eastAsia"/>
                <w:kern w:val="0"/>
                <w:szCs w:val="21"/>
              </w:rPr>
              <w:t>7</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烘箱等加热设备内不准烘烤易燃易爆试剂及易燃物品；不使用塑料筐等易燃容器盛放实验物品在烘箱等加热设备内烘烤</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应采用搪瓷、不锈钢、玻璃、陶瓷等材料制作的容器盛放</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kern w:val="0"/>
                <w:szCs w:val="21"/>
              </w:rPr>
              <w:t>12.5.8</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使用完毕，清理物品、切断电源，确认其冷却至安全温度后方能离开</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查看现场、询问师生</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b/>
                <w:kern w:val="0"/>
                <w:szCs w:val="21"/>
              </w:rPr>
            </w:pPr>
            <w:r>
              <w:rPr>
                <w:b/>
                <w:kern w:val="0"/>
                <w:szCs w:val="21"/>
              </w:rPr>
              <w:t>12.6</w:t>
            </w:r>
          </w:p>
        </w:tc>
        <w:tc>
          <w:tcPr>
            <w:tcW w:w="14541"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6.1</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 xml:space="preserve">涉及化学品的实验室不使用明火电炉；如不可替代必须使用，须有安全防范举措，并经学校安全管理部门审批办理许可证 </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查看许可证</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6.2</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有许可证使用明火电炉的，其使用位置周围无易燃物品，并配备了灭火器、砂桶等灭火设施</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2米内无易燃易爆化学品</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6.3</w:t>
            </w:r>
          </w:p>
        </w:tc>
        <w:tc>
          <w:tcPr>
            <w:tcW w:w="8678"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不使用明火电炉加热易燃易爆试剂</w:t>
            </w:r>
          </w:p>
        </w:tc>
        <w:tc>
          <w:tcPr>
            <w:tcW w:w="3582" w:type="dxa"/>
            <w:shd w:val="clear" w:color="auto" w:fill="DAE3F3" w:themeFill="accent5" w:themeFillTint="32"/>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查看现场、询问学生</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w:t>
            </w:r>
            <w:r>
              <w:rPr>
                <w:kern w:val="0"/>
                <w:szCs w:val="21"/>
              </w:rPr>
              <w:t>6.</w:t>
            </w:r>
            <w:r>
              <w:rPr>
                <w:rFonts w:hint="eastAsia"/>
                <w:kern w:val="0"/>
                <w:szCs w:val="21"/>
              </w:rPr>
              <w:t>4</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明火电炉、电吹风、电热枪等用毕，及时拔除电源插头</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89" w:type="dxa"/>
            <w:shd w:val="clear" w:color="auto" w:fill="auto"/>
            <w:tcMar>
              <w:left w:w="45" w:type="dxa"/>
              <w:right w:w="45" w:type="dxa"/>
            </w:tcMar>
            <w:vAlign w:val="center"/>
          </w:tcPr>
          <w:p>
            <w:pPr>
              <w:widowControl/>
              <w:spacing w:line="300" w:lineRule="exact"/>
              <w:jc w:val="center"/>
              <w:rPr>
                <w:kern w:val="0"/>
                <w:szCs w:val="21"/>
              </w:rPr>
            </w:pPr>
            <w:r>
              <w:rPr>
                <w:rFonts w:hint="eastAsia"/>
                <w:kern w:val="0"/>
                <w:szCs w:val="21"/>
              </w:rPr>
              <w:t>12.6.5</w:t>
            </w:r>
          </w:p>
        </w:tc>
        <w:tc>
          <w:tcPr>
            <w:tcW w:w="8678"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不能用纸质、木质等材料自制红外灯烘箱</w:t>
            </w:r>
          </w:p>
        </w:tc>
        <w:tc>
          <w:tcPr>
            <w:tcW w:w="3582" w:type="dxa"/>
            <w:shd w:val="clear" w:color="auto" w:fill="auto"/>
            <w:tcMar>
              <w:left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kern w:val="0"/>
                <w:szCs w:val="21"/>
              </w:rPr>
            </w:pPr>
            <w:r>
              <w:rPr>
                <w:rFonts w:hint="eastAsia"/>
                <w:kern w:val="0"/>
                <w:szCs w:val="21"/>
              </w:rPr>
              <w:t>查看现场</w:t>
            </w:r>
          </w:p>
        </w:tc>
        <w:tc>
          <w:tcPr>
            <w:tcW w:w="362" w:type="dxa"/>
            <w:tcMar>
              <w:left w:w="45" w:type="dxa"/>
              <w:right w:w="45" w:type="dxa"/>
            </w:tcMar>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388" w:type="dxa"/>
            <w:vAlign w:val="center"/>
          </w:tcPr>
          <w:p>
            <w:pPr>
              <w:widowControl/>
              <w:spacing w:line="300" w:lineRule="exact"/>
              <w:jc w:val="center"/>
              <w:rPr>
                <w:kern w:val="0"/>
                <w:szCs w:val="21"/>
              </w:rPr>
            </w:pPr>
          </w:p>
        </w:tc>
        <w:tc>
          <w:tcPr>
            <w:tcW w:w="1143" w:type="dxa"/>
            <w:vAlign w:val="center"/>
          </w:tcPr>
          <w:p>
            <w:pPr>
              <w:widowControl/>
              <w:spacing w:line="300" w:lineRule="exact"/>
              <w:jc w:val="left"/>
              <w:rPr>
                <w:kern w:val="0"/>
                <w:szCs w:val="21"/>
              </w:rPr>
            </w:pPr>
          </w:p>
        </w:tc>
      </w:tr>
    </w:tbl>
    <w:p>
      <w:pPr>
        <w:adjustRightInd w:val="0"/>
        <w:snapToGrid w:val="0"/>
        <w:spacing w:before="156" w:beforeLines="50"/>
        <w:jc w:val="left"/>
      </w:pPr>
      <w:bookmarkStart w:id="0" w:name="_GoBack"/>
      <w:bookmarkEnd w:id="0"/>
    </w:p>
    <w:sectPr>
      <w:pgSz w:w="16838" w:h="11906" w:orient="landscape"/>
      <w:pgMar w:top="850" w:right="1418" w:bottom="624" w:left="1588" w:header="851" w:footer="992" w:gutter="0"/>
      <w:cols w:space="0" w:num="1"/>
      <w:rtlGutter w:val="0"/>
      <w:docGrid w:type="linesAndChar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THU" w:date="2017-05-13T21:17:00Z"/>
  <w:sdt>
    <w:sdtPr>
      <w:rPr/>
      <w:id w:val="1132680932"/>
    </w:sdtPr>
    <w:sdtEndPr>
      <w:rPr/>
    </w:sdtEndPr>
    <w:sdtContent>
      <w:customXmlInsRangeEnd w:id="0"/>
      <w:p>
        <w:pPr>
          <w:pStyle w:val="14"/>
          <w:jc w:val="center"/>
          <w:rPr>
            <w:ins w:id="2" w:author="THU" w:date="2017-05-13T21:17:00Z"/>
          </w:rPr>
        </w:pPr>
        <w:ins w:id="4" w:author="THU" w:date="2017-05-13T21:17:00Z">
          <w:r>
            <w:rPr/>
            <w:fldChar w:fldCharType="begin"/>
          </w:r>
        </w:ins>
        <w:ins w:id="5" w:author="THU" w:date="2017-05-13T21:17:00Z">
          <w:r>
            <w:rPr/>
            <w:instrText xml:space="preserve">PAGE   \* MERGEFORMAT</w:instrText>
          </w:r>
        </w:ins>
        <w:ins w:id="6" w:author="THU" w:date="2017-05-13T21:17:00Z">
          <w:r>
            <w:rPr/>
            <w:fldChar w:fldCharType="separate"/>
          </w:r>
        </w:ins>
        <w:r>
          <w:rPr>
            <w:lang w:val="zh-CN"/>
          </w:rPr>
          <w:t>1</w:t>
        </w:r>
        <w:ins w:id="7" w:author="THU" w:date="2017-05-13T21:17:00Z">
          <w:r>
            <w:rPr/>
            <w:fldChar w:fldCharType="end"/>
          </w:r>
        </w:ins>
      </w:p>
      <w:customXmlInsRangeStart w:id="9" w:author="THU" w:date="2017-05-13T21:17:00Z"/>
    </w:sdtContent>
  </w:sdt>
  <w:customXmlInsRangeEnd w:id="9"/>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EFF3"/>
    <w:multiLevelType w:val="singleLevel"/>
    <w:tmpl w:val="1CAEEFF3"/>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oNotHyphenateCaps/>
  <w:drawingGridHorizontalSpacing w:val="105"/>
  <w:drawingGridVerticalSpacing w:val="158"/>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370B2"/>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1E514CE"/>
    <w:rsid w:val="03A93997"/>
    <w:rsid w:val="03CD314C"/>
    <w:rsid w:val="03D65C23"/>
    <w:rsid w:val="06ED7F5A"/>
    <w:rsid w:val="072D7EE5"/>
    <w:rsid w:val="08055658"/>
    <w:rsid w:val="08F92D91"/>
    <w:rsid w:val="09630209"/>
    <w:rsid w:val="0D8668E7"/>
    <w:rsid w:val="0D9C70D9"/>
    <w:rsid w:val="0DE7465B"/>
    <w:rsid w:val="0F3C26F3"/>
    <w:rsid w:val="0F673D99"/>
    <w:rsid w:val="0F695673"/>
    <w:rsid w:val="107255DC"/>
    <w:rsid w:val="12BF2275"/>
    <w:rsid w:val="12C23226"/>
    <w:rsid w:val="13681037"/>
    <w:rsid w:val="163F4A02"/>
    <w:rsid w:val="179E48D7"/>
    <w:rsid w:val="17F301A9"/>
    <w:rsid w:val="1ACB7EAB"/>
    <w:rsid w:val="1B710AEE"/>
    <w:rsid w:val="1C6F671D"/>
    <w:rsid w:val="1C9909BF"/>
    <w:rsid w:val="1CA52680"/>
    <w:rsid w:val="1CC635DA"/>
    <w:rsid w:val="1E4475B3"/>
    <w:rsid w:val="1E54509A"/>
    <w:rsid w:val="1FBE458A"/>
    <w:rsid w:val="20817A13"/>
    <w:rsid w:val="21993BCA"/>
    <w:rsid w:val="22445890"/>
    <w:rsid w:val="25211BCD"/>
    <w:rsid w:val="261A4EE9"/>
    <w:rsid w:val="263F1DF3"/>
    <w:rsid w:val="2DD936C1"/>
    <w:rsid w:val="2E4D7CBE"/>
    <w:rsid w:val="2EF84A23"/>
    <w:rsid w:val="31F627F0"/>
    <w:rsid w:val="33066DE2"/>
    <w:rsid w:val="34290016"/>
    <w:rsid w:val="35772F63"/>
    <w:rsid w:val="36B1263F"/>
    <w:rsid w:val="36C43832"/>
    <w:rsid w:val="37D10C3E"/>
    <w:rsid w:val="37D451A3"/>
    <w:rsid w:val="37FA5CF5"/>
    <w:rsid w:val="38405883"/>
    <w:rsid w:val="395039F2"/>
    <w:rsid w:val="39F31F19"/>
    <w:rsid w:val="3A8B20AE"/>
    <w:rsid w:val="3ADD1B9C"/>
    <w:rsid w:val="3C030A3C"/>
    <w:rsid w:val="3C985FBF"/>
    <w:rsid w:val="3E151D72"/>
    <w:rsid w:val="40BE0DEC"/>
    <w:rsid w:val="41152A6F"/>
    <w:rsid w:val="415D0201"/>
    <w:rsid w:val="42FA5582"/>
    <w:rsid w:val="444F6E44"/>
    <w:rsid w:val="45C7403C"/>
    <w:rsid w:val="47A07BDA"/>
    <w:rsid w:val="49E528E1"/>
    <w:rsid w:val="49F53B1E"/>
    <w:rsid w:val="4AE9488F"/>
    <w:rsid w:val="4CB715F6"/>
    <w:rsid w:val="4E9F73FB"/>
    <w:rsid w:val="50403E78"/>
    <w:rsid w:val="54E86EE4"/>
    <w:rsid w:val="576547E3"/>
    <w:rsid w:val="59A01FCB"/>
    <w:rsid w:val="5CF01AC2"/>
    <w:rsid w:val="5D4E5899"/>
    <w:rsid w:val="5DF74E13"/>
    <w:rsid w:val="5E264A89"/>
    <w:rsid w:val="5FDD1A55"/>
    <w:rsid w:val="605107FD"/>
    <w:rsid w:val="60895EF6"/>
    <w:rsid w:val="62470756"/>
    <w:rsid w:val="624F75FC"/>
    <w:rsid w:val="65C11183"/>
    <w:rsid w:val="66BB716F"/>
    <w:rsid w:val="679347C4"/>
    <w:rsid w:val="67C3096C"/>
    <w:rsid w:val="67E655BF"/>
    <w:rsid w:val="6933212C"/>
    <w:rsid w:val="69955344"/>
    <w:rsid w:val="69AB5F03"/>
    <w:rsid w:val="69E1447E"/>
    <w:rsid w:val="6A543488"/>
    <w:rsid w:val="6AE075E7"/>
    <w:rsid w:val="6B9D4B5A"/>
    <w:rsid w:val="6C4D57BD"/>
    <w:rsid w:val="6CC55221"/>
    <w:rsid w:val="6D3A2BC1"/>
    <w:rsid w:val="6D9C6745"/>
    <w:rsid w:val="6E702B1B"/>
    <w:rsid w:val="6E8F475B"/>
    <w:rsid w:val="6F59229D"/>
    <w:rsid w:val="6FF322F9"/>
    <w:rsid w:val="708855FF"/>
    <w:rsid w:val="726F3D99"/>
    <w:rsid w:val="73C847C9"/>
    <w:rsid w:val="743D0B75"/>
    <w:rsid w:val="74904DA4"/>
    <w:rsid w:val="74AA37C5"/>
    <w:rsid w:val="76D1240B"/>
    <w:rsid w:val="77D22597"/>
    <w:rsid w:val="78B241E8"/>
    <w:rsid w:val="798A1A9C"/>
    <w:rsid w:val="798E6181"/>
    <w:rsid w:val="79B23448"/>
    <w:rsid w:val="7AB9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52"/>
    <w:semiHidden/>
    <w:qFormat/>
    <w:uiPriority w:val="0"/>
    <w:rPr>
      <w:b/>
      <w:bCs/>
    </w:rPr>
  </w:style>
  <w:style w:type="paragraph" w:styleId="5">
    <w:name w:val="annotation text"/>
    <w:basedOn w:val="1"/>
    <w:link w:val="51"/>
    <w:qFormat/>
    <w:uiPriority w:val="0"/>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30"/>
    <w:semiHidden/>
    <w:qFormat/>
    <w:uiPriority w:val="0"/>
    <w:rPr>
      <w:rFonts w:ascii="宋体"/>
      <w:kern w:val="0"/>
      <w:sz w:val="18"/>
      <w:szCs w:val="18"/>
    </w:rPr>
  </w:style>
  <w:style w:type="paragraph" w:styleId="8">
    <w:name w:val="Body Text"/>
    <w:basedOn w:val="1"/>
    <w:link w:val="46"/>
    <w:qFormat/>
    <w:uiPriority w:val="0"/>
    <w:pPr>
      <w:spacing w:line="380" w:lineRule="exact"/>
    </w:pPr>
    <w:rPr>
      <w:rFonts w:eastAsia="仿宋_GB2312"/>
      <w:sz w:val="28"/>
      <w:szCs w:val="20"/>
    </w:rPr>
  </w:style>
  <w:style w:type="paragraph" w:styleId="9">
    <w:name w:val="Body Text Indent"/>
    <w:basedOn w:val="1"/>
    <w:link w:val="39"/>
    <w:qFormat/>
    <w:uiPriority w:val="0"/>
    <w:pPr>
      <w:spacing w:line="460" w:lineRule="exact"/>
      <w:ind w:firstLine="630"/>
    </w:pPr>
    <w:rPr>
      <w:rFonts w:ascii="仿宋_GB2312" w:eastAsia="仿宋_GB2312"/>
      <w:sz w:val="32"/>
      <w:szCs w:val="20"/>
    </w:rPr>
  </w:style>
  <w:style w:type="paragraph" w:styleId="10">
    <w:name w:val="Plain Text"/>
    <w:basedOn w:val="1"/>
    <w:link w:val="45"/>
    <w:qFormat/>
    <w:uiPriority w:val="0"/>
    <w:pPr>
      <w:spacing w:line="460" w:lineRule="exact"/>
    </w:pPr>
    <w:rPr>
      <w:rFonts w:ascii="宋体" w:hAnsi="Courier New"/>
      <w:szCs w:val="20"/>
    </w:rPr>
  </w:style>
  <w:style w:type="paragraph" w:styleId="11">
    <w:name w:val="Date"/>
    <w:basedOn w:val="1"/>
    <w:next w:val="1"/>
    <w:link w:val="33"/>
    <w:qFormat/>
    <w:uiPriority w:val="0"/>
    <w:pPr>
      <w:ind w:left="100" w:leftChars="2500"/>
    </w:pPr>
    <w:rPr>
      <w:kern w:val="0"/>
      <w:sz w:val="24"/>
    </w:rPr>
  </w:style>
  <w:style w:type="paragraph" w:styleId="12">
    <w:name w:val="Body Text Indent 2"/>
    <w:basedOn w:val="1"/>
    <w:link w:val="43"/>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32"/>
    <w:semiHidden/>
    <w:qFormat/>
    <w:uiPriority w:val="0"/>
    <w:rPr>
      <w:kern w:val="0"/>
      <w:sz w:val="18"/>
      <w:szCs w:val="18"/>
    </w:rPr>
  </w:style>
  <w:style w:type="paragraph" w:styleId="14">
    <w:name w:val="footer"/>
    <w:basedOn w:val="1"/>
    <w:link w:val="29"/>
    <w:qFormat/>
    <w:uiPriority w:val="99"/>
    <w:pPr>
      <w:tabs>
        <w:tab w:val="center" w:pos="4153"/>
        <w:tab w:val="right" w:pos="8306"/>
      </w:tabs>
      <w:snapToGrid w:val="0"/>
      <w:jc w:val="left"/>
    </w:pPr>
    <w:rPr>
      <w:kern w:val="0"/>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36"/>
    <w:qFormat/>
    <w:uiPriority w:val="0"/>
    <w:pPr>
      <w:adjustRightInd w:val="0"/>
      <w:snapToGrid w:val="0"/>
      <w:spacing w:line="360" w:lineRule="auto"/>
      <w:ind w:left="75" w:firstLine="345"/>
      <w:outlineLvl w:val="0"/>
    </w:pPr>
    <w:rPr>
      <w:rFonts w:ascii="宋体"/>
      <w:kern w:val="0"/>
      <w:szCs w:val="21"/>
    </w:rPr>
  </w:style>
  <w:style w:type="paragraph" w:styleId="17">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character" w:styleId="19">
    <w:name w:val="Strong"/>
    <w:basedOn w:val="18"/>
    <w:qFormat/>
    <w:locked/>
    <w:uiPriority w:val="0"/>
    <w:rPr>
      <w:b/>
    </w:rPr>
  </w:style>
  <w:style w:type="character" w:styleId="20">
    <w:name w:val="page number"/>
    <w:qFormat/>
    <w:uiPriority w:val="0"/>
    <w:rPr>
      <w:rFonts w:cs="Times New Roman"/>
    </w:rPr>
  </w:style>
  <w:style w:type="character" w:styleId="21">
    <w:name w:val="FollowedHyperlink"/>
    <w:qFormat/>
    <w:uiPriority w:val="0"/>
    <w:rPr>
      <w:rFonts w:cs="Times New Roman"/>
      <w:color w:val="800080"/>
      <w:u w:val="single"/>
    </w:rPr>
  </w:style>
  <w:style w:type="character" w:styleId="22">
    <w:name w:val="Hyperlink"/>
    <w:qFormat/>
    <w:uiPriority w:val="0"/>
    <w:rPr>
      <w:rFonts w:cs="Times New Roman"/>
      <w:color w:val="1B227E"/>
      <w:u w:val="none"/>
    </w:rPr>
  </w:style>
  <w:style w:type="character" w:styleId="23">
    <w:name w:val="annotation reference"/>
    <w:semiHidden/>
    <w:qFormat/>
    <w:uiPriority w:val="0"/>
    <w:rPr>
      <w:rFonts w:cs="Times New Roman"/>
      <w:sz w:val="21"/>
      <w:szCs w:val="21"/>
    </w:rPr>
  </w:style>
  <w:style w:type="character" w:styleId="24">
    <w:name w:val="footnote reference"/>
    <w:semiHidden/>
    <w:qFormat/>
    <w:uiPriority w:val="0"/>
    <w:rPr>
      <w:rFonts w:cs="Times New Roman"/>
      <w:vertAlign w:val="superscript"/>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列出段落1"/>
    <w:basedOn w:val="1"/>
    <w:qFormat/>
    <w:uiPriority w:val="0"/>
    <w:pPr>
      <w:ind w:firstLine="420" w:firstLineChars="200"/>
    </w:pPr>
  </w:style>
  <w:style w:type="character" w:customStyle="1" w:styleId="28">
    <w:name w:val="页眉 字符"/>
    <w:link w:val="15"/>
    <w:qFormat/>
    <w:locked/>
    <w:uiPriority w:val="0"/>
    <w:rPr>
      <w:rFonts w:cs="Times New Roman"/>
      <w:sz w:val="18"/>
      <w:szCs w:val="18"/>
    </w:rPr>
  </w:style>
  <w:style w:type="character" w:customStyle="1" w:styleId="29">
    <w:name w:val="页脚 字符"/>
    <w:link w:val="14"/>
    <w:qFormat/>
    <w:locked/>
    <w:uiPriority w:val="99"/>
    <w:rPr>
      <w:rFonts w:cs="Times New Roman"/>
      <w:sz w:val="18"/>
      <w:szCs w:val="18"/>
    </w:rPr>
  </w:style>
  <w:style w:type="character" w:customStyle="1" w:styleId="30">
    <w:name w:val="文档结构图 字符"/>
    <w:link w:val="7"/>
    <w:qFormat/>
    <w:locked/>
    <w:uiPriority w:val="0"/>
    <w:rPr>
      <w:rFonts w:ascii="宋体" w:cs="Times New Roman"/>
      <w:sz w:val="18"/>
      <w:szCs w:val="18"/>
    </w:rPr>
  </w:style>
  <w:style w:type="character" w:customStyle="1" w:styleId="31">
    <w:name w:val="标题 1 字符"/>
    <w:link w:val="2"/>
    <w:qFormat/>
    <w:locked/>
    <w:uiPriority w:val="0"/>
    <w:rPr>
      <w:rFonts w:cs="Times New Roman"/>
      <w:b/>
      <w:bCs/>
      <w:kern w:val="44"/>
      <w:sz w:val="44"/>
      <w:szCs w:val="44"/>
    </w:rPr>
  </w:style>
  <w:style w:type="character" w:customStyle="1" w:styleId="32">
    <w:name w:val="批注框文本 字符"/>
    <w:link w:val="13"/>
    <w:qFormat/>
    <w:locked/>
    <w:uiPriority w:val="0"/>
    <w:rPr>
      <w:rFonts w:cs="Times New Roman"/>
      <w:sz w:val="18"/>
      <w:szCs w:val="18"/>
    </w:rPr>
  </w:style>
  <w:style w:type="character" w:customStyle="1" w:styleId="33">
    <w:name w:val="日期 字符"/>
    <w:link w:val="11"/>
    <w:qFormat/>
    <w:locked/>
    <w:uiPriority w:val="0"/>
    <w:rPr>
      <w:rFonts w:cs="Times New Roman"/>
      <w:sz w:val="24"/>
      <w:szCs w:val="24"/>
    </w:rPr>
  </w:style>
  <w:style w:type="paragraph" w:customStyle="1" w:styleId="34">
    <w:name w:val="修订1"/>
    <w:hidden/>
    <w:qFormat/>
    <w:uiPriority w:val="0"/>
    <w:rPr>
      <w:rFonts w:ascii="Times New Roman" w:hAnsi="Times New Roman" w:eastAsia="宋体" w:cs="Times New Roman"/>
      <w:kern w:val="2"/>
      <w:sz w:val="21"/>
      <w:szCs w:val="24"/>
      <w:lang w:val="en-US" w:eastAsia="zh-CN" w:bidi="ar-SA"/>
    </w:rPr>
  </w:style>
  <w:style w:type="character" w:customStyle="1" w:styleId="35">
    <w:name w:val="标题 2 字符"/>
    <w:link w:val="3"/>
    <w:qFormat/>
    <w:locked/>
    <w:uiPriority w:val="0"/>
    <w:rPr>
      <w:rFonts w:ascii="宋体" w:eastAsia="宋体" w:cs="Times New Roman"/>
      <w:b/>
      <w:bCs/>
      <w:sz w:val="36"/>
      <w:szCs w:val="36"/>
    </w:rPr>
  </w:style>
  <w:style w:type="character" w:customStyle="1" w:styleId="36">
    <w:name w:val="正文文本缩进 3 字符"/>
    <w:link w:val="16"/>
    <w:qFormat/>
    <w:locked/>
    <w:uiPriority w:val="0"/>
    <w:rPr>
      <w:rFonts w:ascii="宋体" w:eastAsia="宋体" w:cs="Times New Roman"/>
      <w:sz w:val="21"/>
      <w:szCs w:val="21"/>
    </w:rPr>
  </w:style>
  <w:style w:type="paragraph" w:customStyle="1" w:styleId="37">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8">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9">
    <w:name w:val="正文文本缩进 字符"/>
    <w:link w:val="9"/>
    <w:qFormat/>
    <w:locked/>
    <w:uiPriority w:val="0"/>
    <w:rPr>
      <w:rFonts w:ascii="仿宋_GB2312" w:eastAsia="仿宋_GB2312" w:cs="Times New Roman"/>
      <w:kern w:val="2"/>
      <w:sz w:val="32"/>
    </w:rPr>
  </w:style>
  <w:style w:type="paragraph" w:customStyle="1" w:styleId="40">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1">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2">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3">
    <w:name w:val="正文文本缩进 2 字符"/>
    <w:link w:val="12"/>
    <w:qFormat/>
    <w:locked/>
    <w:uiPriority w:val="0"/>
    <w:rPr>
      <w:rFonts w:ascii="仿宋_GB2312" w:eastAsia="仿宋_GB2312" w:cs="Times New Roman"/>
      <w:sz w:val="28"/>
    </w:rPr>
  </w:style>
  <w:style w:type="paragraph" w:customStyle="1" w:styleId="44">
    <w:name w:val="文号"/>
    <w:basedOn w:val="1"/>
    <w:qFormat/>
    <w:uiPriority w:val="0"/>
    <w:pPr>
      <w:adjustRightInd w:val="0"/>
      <w:spacing w:before="2550" w:line="360" w:lineRule="atLeast"/>
      <w:jc w:val="center"/>
      <w:textAlignment w:val="baseline"/>
    </w:pPr>
    <w:rPr>
      <w:rFonts w:eastAsia="仿宋_GB2312"/>
      <w:kern w:val="0"/>
      <w:sz w:val="28"/>
      <w:szCs w:val="20"/>
    </w:rPr>
  </w:style>
  <w:style w:type="character" w:customStyle="1" w:styleId="45">
    <w:name w:val="纯文本 字符"/>
    <w:link w:val="10"/>
    <w:qFormat/>
    <w:locked/>
    <w:uiPriority w:val="0"/>
    <w:rPr>
      <w:rFonts w:ascii="宋体" w:hAnsi="Courier New" w:cs="Times New Roman"/>
      <w:kern w:val="2"/>
      <w:sz w:val="21"/>
    </w:rPr>
  </w:style>
  <w:style w:type="character" w:customStyle="1" w:styleId="46">
    <w:name w:val="正文文本 字符"/>
    <w:link w:val="8"/>
    <w:qFormat/>
    <w:locked/>
    <w:uiPriority w:val="0"/>
    <w:rPr>
      <w:rFonts w:eastAsia="仿宋_GB2312" w:cs="Times New Roman"/>
      <w:kern w:val="2"/>
      <w:sz w:val="28"/>
    </w:rPr>
  </w:style>
  <w:style w:type="character" w:customStyle="1" w:styleId="47">
    <w:name w:val="unnamed2"/>
    <w:qFormat/>
    <w:uiPriority w:val="0"/>
    <w:rPr>
      <w:rFonts w:cs="Times New Roman"/>
    </w:rPr>
  </w:style>
  <w:style w:type="character" w:customStyle="1" w:styleId="48">
    <w:name w:val="high-light-bg4"/>
    <w:qFormat/>
    <w:uiPriority w:val="0"/>
    <w:rPr>
      <w:rFonts w:cs="Times New Roman"/>
    </w:rPr>
  </w:style>
  <w:style w:type="paragraph" w:customStyle="1" w:styleId="49">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50">
    <w:name w:val="edited2"/>
    <w:qFormat/>
    <w:uiPriority w:val="0"/>
    <w:rPr>
      <w:rFonts w:cs="Times New Roman"/>
    </w:rPr>
  </w:style>
  <w:style w:type="character" w:customStyle="1" w:styleId="51">
    <w:name w:val="批注文字 字符"/>
    <w:link w:val="5"/>
    <w:qFormat/>
    <w:locked/>
    <w:uiPriority w:val="0"/>
    <w:rPr>
      <w:rFonts w:ascii="Calibri" w:hAnsi="Calibri" w:cs="Calibri"/>
      <w:kern w:val="2"/>
      <w:sz w:val="21"/>
      <w:szCs w:val="21"/>
    </w:rPr>
  </w:style>
  <w:style w:type="character" w:customStyle="1" w:styleId="52">
    <w:name w:val="批注主题 字符"/>
    <w:link w:val="4"/>
    <w:semiHidden/>
    <w:qFormat/>
    <w:locked/>
    <w:uiPriority w:val="0"/>
    <w:rPr>
      <w:rFonts w:ascii="Calibri" w:hAnsi="Calibri" w:cs="Calibri"/>
      <w:b/>
      <w:bCs/>
      <w:kern w:val="2"/>
      <w:sz w:val="21"/>
      <w:szCs w:val="21"/>
    </w:rPr>
  </w:style>
  <w:style w:type="paragraph" w:customStyle="1" w:styleId="53">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8D5AB-BB09-4290-A074-50CF42EC695B}">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30</Pages>
  <Words>3251</Words>
  <Characters>18534</Characters>
  <Lines>154</Lines>
  <Paragraphs>43</Paragraphs>
  <TotalTime>3</TotalTime>
  <ScaleCrop>false</ScaleCrop>
  <LinksUpToDate>false</LinksUpToDate>
  <CharactersWithSpaces>21742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2017-06-08T09:55:00Z</dcterms:created>
  <dc:creator>LIU</dc:creator>
  <cp:lastModifiedBy>waiting</cp:lastModifiedBy>
  <cp:lastPrinted>2018-12-18T00:17:24Z</cp:lastPrinted>
  <dcterms:modified xsi:type="dcterms:W3CDTF">2018-12-18T00:19:21Z</dcterms:modified>
  <dc: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